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40" w:lineRule="atLeast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2017</w:t>
      </w:r>
      <w:r>
        <w:rPr>
          <w:rFonts w:ascii="微軟正黑體" w:cs="微軟正黑體" w:hAnsi="微軟正黑體" w:eastAsia="微軟正黑體"/>
          <w:color w:val="000000"/>
          <w:sz w:val="28"/>
          <w:szCs w:val="28"/>
          <w:u w:color="000000"/>
          <w:rtl w:val="0"/>
          <w:lang w:val="zh-TW" w:eastAsia="zh-TW"/>
        </w:rPr>
        <w:t xml:space="preserve">國立高雄大學 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- </w:t>
      </w:r>
      <w:r>
        <w:rPr>
          <w:rFonts w:ascii="微軟正黑體" w:cs="微軟正黑體" w:hAnsi="微軟正黑體" w:eastAsia="微軟正黑體"/>
          <w:color w:val="000000"/>
          <w:sz w:val="28"/>
          <w:szCs w:val="28"/>
          <w:u w:color="000000"/>
          <w:rtl w:val="0"/>
          <w:lang w:val="zh-TW" w:eastAsia="zh-TW"/>
        </w:rPr>
        <w:t>重塑高雄蚵仔寮漁村聚落綠色海洋人文地景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Default"/>
        <w:spacing w:line="240" w:lineRule="atLeast"/>
        <w:jc w:val="center"/>
        <w:rPr>
          <w:color w:val="000000"/>
          <w:sz w:val="28"/>
          <w:szCs w:val="28"/>
          <w:u w:color="00000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sz w:val="28"/>
          <w:szCs w:val="28"/>
          <w:u w:color="000000"/>
          <w:rtl w:val="0"/>
          <w:lang w:val="zh-TW" w:eastAsia="zh-TW"/>
        </w:rPr>
        <w:t>漁港步道實作場域競圖</w:t>
      </w:r>
    </w:p>
    <w:p>
      <w:pPr>
        <w:pStyle w:val="Default"/>
        <w:spacing w:line="240" w:lineRule="atLeast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after="102" w:line="240" w:lineRule="atLeast"/>
        <w:ind w:right="0"/>
        <w:jc w:val="left"/>
        <w:rPr>
          <w:color w:val="000000"/>
          <w:u w:color="000000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設計項目：漁港步道之公共互動裝置</w:t>
      </w:r>
    </w:p>
    <w:p>
      <w:pPr>
        <w:pStyle w:val="Default"/>
        <w:spacing w:line="240" w:lineRule="atLeast"/>
        <w:rPr>
          <w:color w:val="000000"/>
          <w:u w:color="00000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color w:val="000000"/>
          <w:u w:color="000000"/>
          <w:rtl w:val="0"/>
          <w:lang w:val="zh-TW" w:eastAsia="zh-TW"/>
        </w:rPr>
        <w:t>活動緣起：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國立高雄大學長年致力於在地經營，藉由教育部計畫的課程補助與梓官漁會的場地提供，創作融於漁村聚落的互動裝置。此互動裝置將提供給在地居民與外部遊客自然且輕鬆的交流機會，重塑未妥善運用之漁港步道轉角。本活動鼓勵對設計有興趣的居民、對改造人文地景有理想的青年學子，透過比賽方式，激發對於本土環境的創意思考，表現在設計作品上。本活動提供優勝作品獎金以及第一名參賽者實作機會。</w:t>
      </w: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  <w:color w:val="000000"/>
          <w:kern w:val="0"/>
          <w:u w:color="000000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  <w:color w:val="000000"/>
          <w:kern w:val="0"/>
          <w:u w:color="000000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color w:val="000000"/>
          <w:kern w:val="0"/>
          <w:u w:color="000000"/>
          <w:rtl w:val="0"/>
          <w:lang w:val="zh-TW" w:eastAsia="zh-TW"/>
        </w:rPr>
        <w:t>設計內容：</w:t>
      </w:r>
      <w:r>
        <w:rPr>
          <w:rFonts w:ascii="微軟正黑體" w:cs="微軟正黑體" w:hAnsi="微軟正黑體" w:eastAsia="微軟正黑體"/>
          <w:color w:val="000000"/>
          <w:kern w:val="0"/>
          <w:u w:color="000000"/>
          <w:rtl w:val="0"/>
          <w:lang w:val="zh-TW" w:eastAsia="zh-TW"/>
        </w:rPr>
        <w:t>本設計以綠色海洋意象出發來建立漁港聚落的人文地景，鼓勵參賽者找尋漁港的創作語彙，例如魚鱗、魚刺、風螺殼等當地代表性元素納入設計意象。本設計將反映當地居民需求、提供外部遊客展望現今與未來漁港景象。居民和遊客可藉由互動裝置交流，並與裝置產生站、鑽、坐等肢體動作。</w:t>
      </w: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  <w:color w:val="000000"/>
          <w:kern w:val="0"/>
          <w:u w:color="000000"/>
        </w:rPr>
      </w:pPr>
      <w:r>
        <w:rPr>
          <w:rFonts w:ascii="微軟正黑體" w:cs="微軟正黑體" w:hAnsi="微軟正黑體" w:eastAsia="微軟正黑體"/>
          <w:color w:val="000000"/>
          <w:kern w:val="0"/>
          <w:u w:color="000000"/>
          <w:rtl w:val="0"/>
          <w:lang w:val="zh-TW" w:eastAsia="zh-TW"/>
        </w:rPr>
        <w:t>設計說明包含基地分析、設計概念、設計手法包含造型、色彩、材質的設定，估價表、工期規劃、居民訪談紀錄與對應居民需求之方法。作品內容須包含平面圖、立面圖、剖面圖、透視圖和模型。平面圖、立面圖和剖面圖比例為</w:t>
      </w:r>
      <w:r>
        <w:rPr>
          <w:rFonts w:ascii="微軟正黑體" w:cs="微軟正黑體" w:hAnsi="微軟正黑體" w:eastAsia="微軟正黑體"/>
          <w:color w:val="000000"/>
          <w:kern w:val="0"/>
          <w:u w:color="000000"/>
          <w:rtl w:val="0"/>
          <w:lang w:val="en-US"/>
        </w:rPr>
        <w:t>1/50</w:t>
      </w:r>
      <w:r>
        <w:rPr>
          <w:rFonts w:ascii="微軟正黑體" w:cs="微軟正黑體" w:hAnsi="微軟正黑體" w:eastAsia="微軟正黑體"/>
          <w:color w:val="000000"/>
          <w:kern w:val="0"/>
          <w:u w:color="000000"/>
          <w:rtl w:val="0"/>
          <w:lang w:val="zh-TW" w:eastAsia="zh-TW"/>
        </w:rPr>
        <w:t>。</w:t>
      </w: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  <w:color w:val="000000"/>
          <w:kern w:val="0"/>
          <w:u w:color="000000"/>
        </w:rPr>
      </w:pPr>
      <w:r>
        <w:rPr>
          <w:rFonts w:ascii="微軟正黑體" w:cs="微軟正黑體" w:hAnsi="微軟正黑體" w:eastAsia="微軟正黑體"/>
          <w:color w:val="000000"/>
          <w:kern w:val="0"/>
          <w:u w:color="000000"/>
          <w:rtl w:val="0"/>
          <w:lang w:val="zh-TW" w:eastAsia="zh-TW"/>
        </w:rPr>
        <w:t>估價上限為新臺幣</w:t>
      </w:r>
      <w:r>
        <w:rPr>
          <w:rFonts w:ascii="微軟正黑體" w:cs="微軟正黑體" w:hAnsi="微軟正黑體" w:eastAsia="微軟正黑體"/>
          <w:color w:val="000000"/>
          <w:kern w:val="0"/>
          <w:u w:color="000000"/>
          <w:rtl w:val="0"/>
          <w:lang w:val="en-US"/>
        </w:rPr>
        <w:t>8</w:t>
      </w:r>
      <w:r>
        <w:rPr>
          <w:rFonts w:ascii="微軟正黑體" w:cs="微軟正黑體" w:hAnsi="微軟正黑體" w:eastAsia="微軟正黑體"/>
          <w:color w:val="000000"/>
          <w:kern w:val="0"/>
          <w:u w:color="000000"/>
          <w:rtl w:val="0"/>
          <w:lang w:val="zh-TW" w:eastAsia="zh-TW"/>
        </w:rPr>
        <w:t>萬元。</w:t>
      </w:r>
    </w:p>
    <w:p>
      <w:pPr>
        <w:pStyle w:val="Default"/>
        <w:spacing w:line="240" w:lineRule="atLeast"/>
      </w:pPr>
    </w:p>
    <w:p>
      <w:pPr>
        <w:pStyle w:val="Default"/>
        <w:numPr>
          <w:ilvl w:val="0"/>
          <w:numId w:val="2"/>
        </w:numPr>
        <w:spacing w:after="138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參賽資格：</w:t>
      </w:r>
    </w:p>
    <w:p>
      <w:pPr>
        <w:pStyle w:val="Default"/>
        <w:numPr>
          <w:ilvl w:val="0"/>
          <w:numId w:val="4"/>
        </w:numPr>
        <w:spacing w:after="138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國立高雄大學所有在籍之大學部及研究所學生。</w:t>
      </w:r>
    </w:p>
    <w:p>
      <w:pPr>
        <w:pStyle w:val="Default"/>
        <w:numPr>
          <w:ilvl w:val="0"/>
          <w:numId w:val="4"/>
        </w:numPr>
        <w:spacing w:after="138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梓官區民。</w:t>
      </w:r>
    </w:p>
    <w:p>
      <w:pPr>
        <w:pStyle w:val="Default"/>
        <w:numPr>
          <w:ilvl w:val="0"/>
          <w:numId w:val="4"/>
        </w:numPr>
        <w:spacing w:after="138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作品可以「個人」或「團隊」參加，「團隊」不限人數。</w:t>
      </w:r>
    </w:p>
    <w:p>
      <w:pPr>
        <w:pStyle w:val="Default"/>
        <w:numPr>
          <w:ilvl w:val="0"/>
          <w:numId w:val="4"/>
        </w:numPr>
        <w:spacing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每人</w:t>
      </w:r>
      <w:r>
        <w:rPr>
          <w:rtl w:val="0"/>
          <w:lang w:val="en-US"/>
        </w:rPr>
        <w:t>/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組參賽者作品以壹件為限。</w:t>
      </w:r>
    </w:p>
    <w:p>
      <w:pPr>
        <w:pStyle w:val="Default"/>
        <w:spacing w:line="240" w:lineRule="atLeast"/>
        <w:ind w:firstLine="480"/>
        <w:rPr>
          <w:rFonts w:ascii="微軟正黑體" w:cs="微軟正黑體" w:hAnsi="微軟正黑體" w:eastAsia="微軟正黑體"/>
          <w:b w:val="1"/>
          <w:bCs w:val="1"/>
          <w:color w:val="ff0000"/>
          <w:u w:val="single" w:color="ff0000"/>
        </w:rPr>
      </w:pPr>
    </w:p>
    <w:p>
      <w:pPr>
        <w:pStyle w:val="Default"/>
        <w:numPr>
          <w:ilvl w:val="0"/>
          <w:numId w:val="5"/>
        </w:numPr>
        <w:spacing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作品繳交：</w:t>
      </w:r>
    </w:p>
    <w:p>
      <w:pPr>
        <w:pStyle w:val="Default"/>
        <w:numPr>
          <w:ilvl w:val="0"/>
          <w:numId w:val="7"/>
        </w:numPr>
        <w:spacing w:after="27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請先下載「著作財產權同意書」、「報名表」及「居民與遊客訪談紀錄表」。以上連同作品一併繳交。</w:t>
      </w:r>
    </w:p>
    <w:p>
      <w:pPr>
        <w:pStyle w:val="Default"/>
        <w:numPr>
          <w:ilvl w:val="0"/>
          <w:numId w:val="7"/>
        </w:numPr>
        <w:spacing w:after="27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收件地點為「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重塑高雄蚵仔寮漁村聚落綠色海洋人文地景計畫辦公室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」。</w:t>
      </w:r>
    </w:p>
    <w:p>
      <w:pPr>
        <w:pStyle w:val="Default"/>
        <w:numPr>
          <w:ilvl w:val="0"/>
          <w:numId w:val="7"/>
        </w:numPr>
        <w:spacing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第一階段紙本與電子檔作品收件截止時間為</w:t>
      </w:r>
      <w:r>
        <w:rPr>
          <w:color w:val="ff0000"/>
          <w:u w:color="ff0000"/>
          <w:rtl w:val="0"/>
          <w:lang w:val="en-US"/>
        </w:rPr>
        <w:t>2017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年</w:t>
      </w:r>
      <w:r>
        <w:rPr>
          <w:color w:val="ff0000"/>
          <w:u w:color="ff0000"/>
          <w:rtl w:val="0"/>
          <w:lang w:val="en-US"/>
        </w:rPr>
        <w:t>6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月</w:t>
      </w:r>
      <w:r>
        <w:rPr>
          <w:color w:val="ff0000"/>
          <w:u w:color="ff0000"/>
          <w:rtl w:val="0"/>
          <w:lang w:val="en-US"/>
        </w:rPr>
        <w:t>9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日下午</w:t>
      </w:r>
      <w:r>
        <w:rPr>
          <w:color w:val="ff0000"/>
          <w:u w:color="ff0000"/>
          <w:rtl w:val="0"/>
          <w:lang w:val="en-US"/>
        </w:rPr>
        <w:t>4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時止</w:t>
      </w:r>
      <w:r>
        <w:rPr>
          <w:color w:val="ff0000"/>
          <w:u w:color="ff0000"/>
          <w:rtl w:val="0"/>
          <w:lang w:val="en-US"/>
        </w:rPr>
        <w:t>(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收件時間以送達為憑，逾時恕不受理</w:t>
      </w:r>
      <w:r>
        <w:rPr>
          <w:color w:val="ff0000"/>
          <w:u w:color="ff0000"/>
          <w:rtl w:val="0"/>
          <w:lang w:val="en-US"/>
        </w:rPr>
        <w:t>)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。</w:t>
      </w:r>
    </w:p>
    <w:p>
      <w:pPr>
        <w:pStyle w:val="Default"/>
        <w:numPr>
          <w:ilvl w:val="0"/>
          <w:numId w:val="7"/>
        </w:numPr>
        <w:spacing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第一階段繳交作品之紙本、背面均須註明單位、作者姓名、作品名稱。</w:t>
      </w:r>
    </w:p>
    <w:p>
      <w:pPr>
        <w:pStyle w:val="Default"/>
        <w:spacing w:line="240" w:lineRule="atLeast"/>
        <w:ind w:left="480" w:firstLine="371"/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紙本作品</w:t>
      </w:r>
      <w:r>
        <w:rPr>
          <w:rtl w:val="0"/>
          <w:lang w:val="en-US"/>
        </w:rPr>
        <w:t>: A1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版面二張。直式設計（可左右合併排版）。</w:t>
      </w:r>
    </w:p>
    <w:p>
      <w:pPr>
        <w:pStyle w:val="Default"/>
        <w:spacing w:line="240" w:lineRule="atLeast"/>
        <w:ind w:left="480" w:firstLine="371"/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作品電子檔</w:t>
      </w:r>
      <w:r>
        <w:rPr>
          <w:rtl w:val="0"/>
          <w:lang w:val="en-US"/>
        </w:rPr>
        <w:t>:A1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版面檔案格式為</w:t>
      </w:r>
      <w:r>
        <w:rPr>
          <w:rtl w:val="0"/>
          <w:lang w:val="en-US"/>
        </w:rPr>
        <w:t>JPG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檔</w:t>
      </w:r>
      <w:r>
        <w:rPr>
          <w:rtl w:val="0"/>
          <w:lang w:val="en-US"/>
        </w:rPr>
        <w:t>(600dpi)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、</w:t>
      </w:r>
      <w:r>
        <w:rPr>
          <w:rtl w:val="0"/>
          <w:lang w:val="en-US"/>
        </w:rPr>
        <w:t>PDF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檔，及</w:t>
      </w:r>
      <w:r>
        <w:rPr>
          <w:rtl w:val="0"/>
          <w:lang w:val="en-US"/>
        </w:rPr>
        <w:t>AI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或</w:t>
      </w:r>
      <w:r>
        <w:rPr>
          <w:rtl w:val="0"/>
          <w:lang w:val="en-US"/>
        </w:rPr>
        <w:t>CDR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檔未轉外框格式，需可編輯使用。以光碟繳交。</w:t>
      </w:r>
    </w:p>
    <w:p>
      <w:pPr>
        <w:pStyle w:val="Default"/>
        <w:spacing w:line="240" w:lineRule="atLeast"/>
        <w:ind w:left="480" w:firstLine="371"/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簡報電子檔</w:t>
      </w:r>
      <w:r>
        <w:rPr>
          <w:rtl w:val="0"/>
          <w:lang w:val="en-US"/>
        </w:rPr>
        <w:t xml:space="preserve">: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格式以</w:t>
      </w:r>
      <w:r>
        <w:rPr>
          <w:rtl w:val="0"/>
          <w:lang w:val="en-US"/>
        </w:rPr>
        <w:t>PPT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或</w:t>
      </w:r>
      <w:r>
        <w:rPr>
          <w:rtl w:val="0"/>
          <w:lang w:val="en-US"/>
        </w:rPr>
        <w:t>PPTX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檔為主。若有</w:t>
      </w:r>
      <w:r>
        <w:rPr>
          <w:rtl w:val="0"/>
          <w:lang w:val="en-US"/>
        </w:rPr>
        <w:t>3D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模擬動畫檔，格式以</w:t>
      </w:r>
      <w:r>
        <w:rPr>
          <w:rtl w:val="0"/>
          <w:lang w:val="en-US"/>
        </w:rPr>
        <w:t>AVI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檔為主。以光碟繳交。</w:t>
      </w:r>
    </w:p>
    <w:p>
      <w:pPr>
        <w:pStyle w:val="Default"/>
        <w:numPr>
          <w:ilvl w:val="0"/>
          <w:numId w:val="8"/>
        </w:numPr>
        <w:spacing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光碟作品繳交後，概不發還，請自留副本。請自行確認檔案是有效且可以被開啟，檔案無法被開啟者恕不另行通知。</w:t>
      </w:r>
    </w:p>
    <w:p>
      <w:pPr>
        <w:pStyle w:val="Default"/>
        <w:numPr>
          <w:ilvl w:val="0"/>
          <w:numId w:val="9"/>
        </w:numPr>
        <w:spacing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評審作業：</w:t>
      </w:r>
    </w:p>
    <w:p>
      <w:pPr>
        <w:pStyle w:val="Default"/>
        <w:numPr>
          <w:ilvl w:val="0"/>
          <w:numId w:val="11"/>
        </w:numPr>
        <w:bidi w:val="0"/>
        <w:spacing w:after="2" w:line="240" w:lineRule="atLeast"/>
        <w:ind w:right="0"/>
        <w:jc w:val="left"/>
        <w:rPr>
          <w:color w:val="000000"/>
          <w:u w:color="000000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評審團之組成：由主辦單位專業教師及相關計畫委任專家代表組成。</w:t>
      </w:r>
    </w:p>
    <w:p>
      <w:pPr>
        <w:pStyle w:val="Default"/>
        <w:numPr>
          <w:ilvl w:val="0"/>
          <w:numId w:val="11"/>
        </w:numPr>
        <w:bidi w:val="0"/>
        <w:spacing w:after="2" w:line="240" w:lineRule="atLeast"/>
        <w:ind w:right="0"/>
        <w:jc w:val="left"/>
        <w:rPr>
          <w:color w:val="000000"/>
          <w:u w:color="000000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資格審查：對參賽作品之提交資料進行資格審查，確認作品規格及數量無誤。</w:t>
      </w:r>
    </w:p>
    <w:p>
      <w:pPr>
        <w:pStyle w:val="Default"/>
        <w:numPr>
          <w:ilvl w:val="0"/>
          <w:numId w:val="11"/>
        </w:numPr>
        <w:bidi w:val="0"/>
        <w:spacing w:after="2" w:line="240" w:lineRule="atLeast"/>
        <w:ind w:right="0"/>
        <w:jc w:val="left"/>
        <w:rPr>
          <w:color w:val="000000"/>
          <w:u w:color="000000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評審作業與流程：採用兩階段評審，審查流程如下：</w:t>
      </w:r>
    </w:p>
    <w:p>
      <w:pPr>
        <w:pStyle w:val="Default"/>
        <w:numPr>
          <w:ilvl w:val="0"/>
          <w:numId w:val="11"/>
        </w:numPr>
        <w:bidi w:val="0"/>
        <w:spacing w:line="240" w:lineRule="atLeast"/>
        <w:ind w:right="0"/>
        <w:jc w:val="left"/>
        <w:rPr>
          <w:color w:val="000000"/>
          <w:u w:color="000000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第一階段初審：</w:t>
      </w:r>
    </w:p>
    <w:p>
      <w:pPr>
        <w:pStyle w:val="Default"/>
        <w:spacing w:line="240" w:lineRule="atLeast"/>
        <w:ind w:left="851" w:firstLine="0"/>
        <w:rPr>
          <w:color w:val="000000"/>
          <w:u w:color="00000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教育部計畫</w:t>
      </w:r>
      <w:r>
        <w:rPr>
          <w:rtl w:val="0"/>
          <w:lang w:val="zh-TW" w:eastAsia="zh-TW"/>
        </w:rPr>
        <w:t>主持人與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教師進行資格和設計審查，評定優選作品進入第二階段決審。</w:t>
      </w:r>
    </w:p>
    <w:p>
      <w:pPr>
        <w:pStyle w:val="Default"/>
        <w:numPr>
          <w:ilvl w:val="0"/>
          <w:numId w:val="11"/>
        </w:numPr>
        <w:bidi w:val="0"/>
        <w:spacing w:after="109" w:line="240" w:lineRule="atLeast"/>
        <w:ind w:right="0"/>
        <w:jc w:val="left"/>
        <w:rPr>
          <w:color w:val="000000"/>
          <w:u w:color="000000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第二階段決審：</w:t>
      </w:r>
    </w:p>
    <w:p>
      <w:pPr>
        <w:pStyle w:val="Default"/>
        <w:spacing w:after="109" w:line="240" w:lineRule="atLeast"/>
        <w:ind w:left="851" w:firstLine="0"/>
        <w:rPr>
          <w:color w:val="000000"/>
          <w:u w:color="00000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第一階段所評定之人選，經簡報評審方式，由教育部計畫教師與梓官漁會等專家組成評審委員團，評定出前三獎項之順序。</w:t>
      </w:r>
    </w:p>
    <w:p>
      <w:pPr>
        <w:pStyle w:val="Default"/>
        <w:spacing w:after="109" w:line="240" w:lineRule="atLeast"/>
        <w:ind w:left="851" w:firstLine="0"/>
        <w:rPr>
          <w:color w:val="000000"/>
          <w:u w:color="000000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入圍第二階段決審之各組需於規定日期於規定時間前</w:t>
      </w:r>
      <w:r>
        <w:rPr>
          <w:color w:val="000000"/>
          <w:u w:color="000000"/>
          <w:rtl w:val="0"/>
          <w:lang w:val="en-US"/>
        </w:rPr>
        <w:t>30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分鐘抵達會場，並攜帶作品進行</w:t>
      </w:r>
      <w:r>
        <w:rPr>
          <w:color w:val="000000"/>
          <w:u w:color="000000"/>
          <w:rtl w:val="0"/>
          <w:lang w:val="en-US"/>
        </w:rPr>
        <w:t>10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分鐘簡報準備，評審每人得進行問答至多</w:t>
      </w:r>
      <w:r>
        <w:rPr>
          <w:color w:val="000000"/>
          <w:u w:color="000000"/>
          <w:rtl w:val="0"/>
          <w:lang w:val="en-US"/>
        </w:rPr>
        <w:t>5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分鐘。簡報順序於簡報當日報到後現場抽籤決定之，逾時或缺席者視同放棄。</w:t>
      </w:r>
    </w:p>
    <w:p>
      <w:pPr>
        <w:pStyle w:val="Default"/>
        <w:numPr>
          <w:ilvl w:val="0"/>
          <w:numId w:val="12"/>
        </w:numPr>
        <w:bidi w:val="0"/>
        <w:spacing w:line="240" w:lineRule="atLeast"/>
        <w:ind w:right="0"/>
        <w:jc w:val="left"/>
        <w:rPr>
          <w:color w:val="000000"/>
          <w:u w:color="000000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評審原則：</w:t>
      </w:r>
    </w:p>
    <w:p>
      <w:pPr>
        <w:pStyle w:val="Default"/>
        <w:spacing w:line="240" w:lineRule="atLeast"/>
        <w:ind w:left="960" w:firstLine="480"/>
        <w:rPr>
          <w:color w:val="000000"/>
          <w:u w:color="000000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實用功能性</w:t>
      </w:r>
      <w:r>
        <w:rPr>
          <w:color w:val="000000"/>
          <w:u w:color="000000"/>
          <w:rtl w:val="0"/>
          <w:lang w:val="en-US"/>
        </w:rPr>
        <w:t>-  30% -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可實際建設並符合預算。能適度改善文化地景</w:t>
      </w:r>
    </w:p>
    <w:p>
      <w:pPr>
        <w:pStyle w:val="Default"/>
        <w:spacing w:line="240" w:lineRule="atLeast"/>
        <w:ind w:left="960" w:firstLine="480"/>
        <w:rPr>
          <w:color w:val="000000"/>
          <w:u w:color="000000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生活美學性</w:t>
      </w:r>
      <w:r>
        <w:rPr>
          <w:color w:val="000000"/>
          <w:u w:color="000000"/>
          <w:rtl w:val="0"/>
          <w:lang w:val="en-US"/>
        </w:rPr>
        <w:t>-  30% -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符合美學。融入當地漁港聚落</w:t>
      </w:r>
    </w:p>
    <w:p>
      <w:pPr>
        <w:pStyle w:val="Default"/>
        <w:spacing w:line="240" w:lineRule="atLeast"/>
        <w:ind w:left="960" w:firstLine="480"/>
        <w:rPr>
          <w:color w:val="000000"/>
          <w:u w:color="000000"/>
        </w:rPr>
      </w:pP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環境共生性</w:t>
      </w:r>
      <w:r>
        <w:rPr>
          <w:color w:val="000000"/>
          <w:u w:color="000000"/>
          <w:rtl w:val="0"/>
          <w:lang w:val="en-US"/>
        </w:rPr>
        <w:t>-  20% -</w:t>
      </w:r>
      <w:r>
        <w:rPr>
          <w:rFonts w:ascii="微軟正黑體" w:cs="微軟正黑體" w:hAnsi="微軟正黑體" w:eastAsia="微軟正黑體"/>
          <w:color w:val="000000"/>
          <w:u w:color="000000"/>
          <w:rtl w:val="0"/>
          <w:lang w:val="zh-TW" w:eastAsia="zh-TW"/>
        </w:rPr>
        <w:t>綠色海洋精神。展望漁港的過去、現在與未來</w:t>
      </w:r>
    </w:p>
    <w:p>
      <w:pPr>
        <w:pStyle w:val="Normal.0"/>
        <w:spacing w:line="240" w:lineRule="atLeast"/>
        <w:ind w:left="960" w:firstLine="480"/>
        <w:rPr>
          <w:rFonts w:ascii="微軟正黑體" w:cs="微軟正黑體" w:hAnsi="微軟正黑體" w:eastAsia="微軟正黑體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創意趨勢性</w:t>
      </w:r>
      <w:r>
        <w:rPr>
          <w:rFonts w:ascii="微軟正黑體" w:cs="微軟正黑體" w:hAnsi="微軟正黑體" w:eastAsia="微軟正黑體"/>
          <w:rtl w:val="0"/>
          <w:lang w:val="en-US"/>
        </w:rPr>
        <w:t>-  20% -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裝置互動方式</w:t>
      </w:r>
    </w:p>
    <w:p>
      <w:pPr>
        <w:pStyle w:val="Default"/>
        <w:numPr>
          <w:ilvl w:val="0"/>
          <w:numId w:val="2"/>
        </w:numPr>
        <w:spacing w:after="210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評審時程：</w:t>
      </w:r>
    </w:p>
    <w:p>
      <w:pPr>
        <w:pStyle w:val="Default"/>
        <w:numPr>
          <w:ilvl w:val="0"/>
          <w:numId w:val="14"/>
        </w:numPr>
        <w:spacing w:after="210" w:line="240" w:lineRule="atLeast"/>
        <w:rPr>
          <w:lang w:val="en-US"/>
        </w:rPr>
      </w:pPr>
      <w:r>
        <w:rPr>
          <w:rtl w:val="0"/>
          <w:lang w:val="en-US"/>
        </w:rPr>
        <w:t>2017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年</w:t>
      </w:r>
      <w:r>
        <w:rPr>
          <w:rtl w:val="0"/>
          <w:lang w:val="en-US"/>
        </w:rPr>
        <w:t>6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月</w:t>
      </w:r>
      <w:r>
        <w:rPr>
          <w:rtl w:val="0"/>
          <w:lang w:val="en-US"/>
        </w:rPr>
        <w:t>13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日進行第一階段初審作業，結果於當日公告。</w:t>
      </w:r>
    </w:p>
    <w:p>
      <w:pPr>
        <w:pStyle w:val="Default"/>
        <w:numPr>
          <w:ilvl w:val="0"/>
          <w:numId w:val="14"/>
        </w:numPr>
        <w:spacing w:after="210" w:line="240" w:lineRule="atLeast"/>
        <w:rPr>
          <w:lang w:val="en-US"/>
        </w:rPr>
      </w:pPr>
      <w:r>
        <w:rPr>
          <w:rtl w:val="0"/>
          <w:lang w:val="en-US"/>
        </w:rPr>
        <w:t>2017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年</w:t>
      </w:r>
      <w:r>
        <w:rPr>
          <w:rtl w:val="0"/>
          <w:lang w:val="en-US"/>
        </w:rPr>
        <w:t>6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月</w:t>
      </w:r>
      <w:r>
        <w:rPr>
          <w:rtl w:val="0"/>
          <w:lang w:val="en-US"/>
        </w:rPr>
        <w:t>15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日進行第二階段決審作業後公告並擇日頒獎。</w:t>
      </w:r>
    </w:p>
    <w:p>
      <w:pPr>
        <w:pStyle w:val="Default"/>
        <w:numPr>
          <w:ilvl w:val="0"/>
          <w:numId w:val="14"/>
        </w:numPr>
        <w:spacing w:after="210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以上日期如有變動，將以活動執行單位公告為準。</w:t>
      </w:r>
    </w:p>
    <w:p>
      <w:pPr>
        <w:pStyle w:val="Default"/>
        <w:numPr>
          <w:ilvl w:val="0"/>
          <w:numId w:val="15"/>
        </w:numPr>
        <w:spacing w:after="210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獎項：由主辦單位於頒獎典禮公布各獎項之參賽單位及所屬系所</w:t>
      </w:r>
      <w:r>
        <w:rPr>
          <w:rtl w:val="0"/>
          <w:lang w:val="zh-TW" w:eastAsia="zh-TW"/>
        </w:rPr>
        <w:t>，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各名次獎勵如下：</w:t>
      </w:r>
    </w:p>
    <w:p>
      <w:pPr>
        <w:pStyle w:val="Default"/>
        <w:spacing w:after="210" w:line="240" w:lineRule="atLeast"/>
        <w:ind w:firstLine="480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金獎</w:t>
      </w:r>
      <w:r>
        <w:rPr>
          <w:color w:val="ff0000"/>
          <w:u w:color="ff0000"/>
          <w:rtl w:val="0"/>
          <w:lang w:val="en-US"/>
        </w:rPr>
        <w:t>1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名：</w:t>
      </w:r>
      <w:r>
        <w:rPr>
          <w:color w:val="ff0000"/>
          <w:u w:color="ff0000"/>
          <w:rtl w:val="0"/>
          <w:lang w:val="zh-TW" w:eastAsia="zh-TW"/>
        </w:rPr>
        <w:t>禮券</w:t>
      </w:r>
      <w:r>
        <w:rPr>
          <w:color w:val="ff0000"/>
          <w:u w:color="ff0000"/>
          <w:rtl w:val="0"/>
          <w:lang w:val="en-US"/>
        </w:rPr>
        <w:t>10,000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元，頒發奬狀壹張；</w:t>
      </w:r>
    </w:p>
    <w:p>
      <w:pPr>
        <w:pStyle w:val="Default"/>
        <w:spacing w:after="210" w:line="240" w:lineRule="atLeast"/>
        <w:ind w:firstLine="480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銀獎</w:t>
      </w:r>
      <w:r>
        <w:rPr>
          <w:color w:val="ff0000"/>
          <w:u w:color="ff0000"/>
          <w:rtl w:val="0"/>
          <w:lang w:val="en-US"/>
        </w:rPr>
        <w:t>1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名：</w:t>
      </w:r>
      <w:r>
        <w:rPr>
          <w:color w:val="ff0000"/>
          <w:u w:color="ff0000"/>
          <w:rtl w:val="0"/>
          <w:lang w:val="zh-TW" w:eastAsia="zh-TW"/>
        </w:rPr>
        <w:t>禮券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8</w:t>
      </w:r>
      <w:r>
        <w:rPr>
          <w:color w:val="ff0000"/>
          <w:u w:color="ff0000"/>
          <w:rtl w:val="0"/>
          <w:lang w:val="en-US"/>
        </w:rPr>
        <w:t>,000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元，頒發奬狀壹張；</w:t>
      </w:r>
    </w:p>
    <w:p>
      <w:pPr>
        <w:pStyle w:val="Default"/>
        <w:spacing w:after="210" w:line="240" w:lineRule="atLeast"/>
        <w:ind w:firstLine="480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銅獎</w:t>
      </w:r>
      <w:r>
        <w:rPr>
          <w:color w:val="ff0000"/>
          <w:u w:color="ff0000"/>
          <w:rtl w:val="0"/>
          <w:lang w:val="en-US"/>
        </w:rPr>
        <w:t>1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名：</w:t>
      </w:r>
      <w:r>
        <w:rPr>
          <w:color w:val="ff0000"/>
          <w:u w:color="ff0000"/>
          <w:rtl w:val="0"/>
          <w:lang w:val="zh-TW" w:eastAsia="zh-TW"/>
        </w:rPr>
        <w:t>禮券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6</w:t>
      </w:r>
      <w:r>
        <w:rPr>
          <w:color w:val="ff0000"/>
          <w:u w:color="ff0000"/>
          <w:rtl w:val="0"/>
          <w:lang w:val="en-US"/>
        </w:rPr>
        <w:t>,000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元，頒發奬狀壹張；</w:t>
      </w:r>
    </w:p>
    <w:p>
      <w:pPr>
        <w:pStyle w:val="Default"/>
        <w:spacing w:after="210" w:line="240" w:lineRule="atLeast"/>
        <w:ind w:firstLine="480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優選</w:t>
      </w:r>
      <w:r>
        <w:rPr>
          <w:color w:val="ff0000"/>
          <w:u w:color="ff0000"/>
          <w:rtl w:val="0"/>
          <w:lang w:val="en-US"/>
        </w:rPr>
        <w:t>2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名：每名</w:t>
      </w:r>
      <w:r>
        <w:rPr>
          <w:color w:val="ff0000"/>
          <w:u w:color="ff0000"/>
          <w:rtl w:val="0"/>
          <w:lang w:val="zh-TW" w:eastAsia="zh-TW"/>
        </w:rPr>
        <w:t>禮券</w:t>
      </w:r>
      <w:r>
        <w:rPr>
          <w:color w:val="ff0000"/>
          <w:u w:color="ff0000"/>
          <w:rtl w:val="0"/>
          <w:lang w:val="en-US"/>
        </w:rPr>
        <w:t>2,000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元，頒發奬狀壹張；</w:t>
      </w:r>
    </w:p>
    <w:p>
      <w:pPr>
        <w:pStyle w:val="Default"/>
        <w:spacing w:line="240" w:lineRule="atLeast"/>
        <w:ind w:firstLine="480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佳作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5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名：每名</w:t>
      </w:r>
      <w:r>
        <w:rPr>
          <w:color w:val="ff0000"/>
          <w:u w:color="ff0000"/>
          <w:rtl w:val="0"/>
          <w:lang w:val="zh-TW" w:eastAsia="zh-TW"/>
        </w:rPr>
        <w:t>禮券</w:t>
      </w:r>
      <w:r>
        <w:rPr>
          <w:color w:val="ff0000"/>
          <w:u w:color="ff0000"/>
          <w:rtl w:val="0"/>
          <w:lang w:val="zh-TW" w:eastAsia="zh-TW"/>
        </w:rPr>
        <w:t>500</w:t>
      </w:r>
      <w:r>
        <w:rPr>
          <w:color w:val="ff0000"/>
          <w:u w:color="ff0000"/>
          <w:rtl w:val="0"/>
          <w:lang w:val="zh-TW" w:eastAsia="zh-TW"/>
        </w:rPr>
        <w:t>元，頒發</w:t>
      </w:r>
      <w:r>
        <w:rPr>
          <w:rFonts w:ascii="微軟正黑體" w:cs="微軟正黑體" w:hAnsi="微軟正黑體" w:eastAsia="微軟正黑體"/>
          <w:color w:val="ff0000"/>
          <w:u w:color="ff0000"/>
          <w:rtl w:val="0"/>
          <w:lang w:val="zh-TW" w:eastAsia="zh-TW"/>
        </w:rPr>
        <w:t>獎狀壹張；</w:t>
      </w:r>
    </w:p>
    <w:p>
      <w:pPr>
        <w:pStyle w:val="Default"/>
        <w:spacing w:line="240" w:lineRule="atLeast"/>
        <w:ind w:left="480" w:firstLine="0"/>
        <w:rPr>
          <w:rFonts w:ascii="微軟正黑體" w:cs="微軟正黑體" w:hAnsi="微軟正黑體" w:eastAsia="微軟正黑體"/>
          <w:b w:val="1"/>
          <w:bCs w:val="1"/>
          <w:sz w:val="20"/>
          <w:szCs w:val="20"/>
          <w:u w:val="single"/>
        </w:rPr>
      </w:pPr>
      <w:r>
        <w:rPr>
          <w:rFonts w:ascii="微軟正黑體" w:cs="微軟正黑體" w:hAnsi="微軟正黑體" w:eastAsia="微軟正黑體"/>
          <w:b w:val="1"/>
          <w:bCs w:val="1"/>
          <w:sz w:val="20"/>
          <w:szCs w:val="20"/>
          <w:u w:val="single"/>
          <w:rtl w:val="0"/>
          <w:lang w:val="zh-TW" w:eastAsia="zh-TW"/>
        </w:rPr>
        <w:t>註</w:t>
      </w:r>
      <w:r>
        <w:rPr>
          <w:rFonts w:ascii="微軟正黑體" w:cs="微軟正黑體" w:hAnsi="微軟正黑體" w:eastAsia="微軟正黑體"/>
          <w:b w:val="1"/>
          <w:bCs w:val="1"/>
          <w:sz w:val="20"/>
          <w:szCs w:val="20"/>
          <w:u w:val="single"/>
          <w:rtl w:val="0"/>
          <w:lang w:val="en-US"/>
        </w:rPr>
        <w:t>1</w:t>
      </w:r>
      <w:r>
        <w:rPr>
          <w:rFonts w:ascii="微軟正黑體" w:cs="微軟正黑體" w:hAnsi="微軟正黑體" w:eastAsia="微軟正黑體"/>
          <w:b w:val="1"/>
          <w:bCs w:val="1"/>
          <w:sz w:val="20"/>
          <w:szCs w:val="20"/>
          <w:u w:val="single"/>
          <w:rtl w:val="0"/>
          <w:lang w:val="zh-TW" w:eastAsia="zh-TW"/>
        </w:rPr>
        <w:t>：評審得視作品狀況，調整得獎名額。</w:t>
      </w:r>
    </w:p>
    <w:p>
      <w:pPr>
        <w:pStyle w:val="Default"/>
        <w:spacing w:line="240" w:lineRule="atLeast"/>
        <w:ind w:left="480" w:firstLine="0"/>
        <w:rPr>
          <w:rFonts w:ascii="微軟正黑體" w:cs="微軟正黑體" w:hAnsi="微軟正黑體" w:eastAsia="微軟正黑體"/>
          <w:b w:val="1"/>
          <w:bCs w:val="1"/>
          <w:sz w:val="20"/>
          <w:szCs w:val="20"/>
          <w:u w:val="single"/>
        </w:rPr>
      </w:pPr>
    </w:p>
    <w:p>
      <w:pPr>
        <w:pStyle w:val="Default"/>
        <w:numPr>
          <w:ilvl w:val="0"/>
          <w:numId w:val="2"/>
        </w:numPr>
        <w:spacing w:after="99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權利歸屬：</w:t>
      </w:r>
    </w:p>
    <w:p>
      <w:pPr>
        <w:pStyle w:val="Default"/>
        <w:spacing w:after="99" w:line="240" w:lineRule="atLeast"/>
        <w:ind w:left="480" w:firstLine="0"/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所有參賽者之作品，其智慧財產權等相關權利均歸主辦單位與創作者所共有，但主辦單位具有變更設計、出版與公開展覽</w:t>
      </w:r>
      <w:r>
        <w:rPr>
          <w:rFonts w:ascii="微軟正黑體" w:cs="微軟正黑體" w:hAnsi="微軟正黑體" w:eastAsia="微軟正黑體"/>
          <w:rtl w:val="0"/>
          <w:lang w:val="en-US"/>
        </w:rPr>
        <w:t>…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等</w:t>
      </w:r>
      <w:r>
        <w:rPr>
          <w:rtl w:val="0"/>
          <w:lang w:val="en-US"/>
        </w:rPr>
        <w:t>(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含其他</w:t>
      </w:r>
      <w:r>
        <w:rPr>
          <w:rtl w:val="0"/>
          <w:lang w:val="en-US"/>
        </w:rPr>
        <w:t>)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相關一切權利，且參賽者不得以任何形式</w:t>
      </w:r>
      <w:r>
        <w:rPr>
          <w:rtl w:val="0"/>
          <w:lang w:val="en-US"/>
        </w:rPr>
        <w:t>(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無論有償或無償</w:t>
      </w:r>
      <w:r>
        <w:rPr>
          <w:rtl w:val="0"/>
          <w:lang w:val="en-US"/>
        </w:rPr>
        <w:t>)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提供與第三者使用。</w:t>
      </w:r>
    </w:p>
    <w:p>
      <w:pPr>
        <w:pStyle w:val="Default"/>
        <w:numPr>
          <w:ilvl w:val="0"/>
          <w:numId w:val="2"/>
        </w:numPr>
        <w:spacing w:after="99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注意事項：</w:t>
      </w:r>
    </w:p>
    <w:p>
      <w:pPr>
        <w:pStyle w:val="Default"/>
        <w:numPr>
          <w:ilvl w:val="0"/>
          <w:numId w:val="17"/>
        </w:numPr>
        <w:spacing w:after="99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所有參賽作品必須未經公開發表之原創作品，得奬者事後若經人檢舉並查證屬實，有違反本奬評審作業程序之規定，或有抄襲、仿冒或侵害他人智慧財產權事實者，主辦單位除取消其獲奬資格外，並追回已頒發之奬座及奬金，因此所產生之民、刑事責任有參賽者自行負擔。</w:t>
      </w:r>
    </w:p>
    <w:p>
      <w:pPr>
        <w:pStyle w:val="Default"/>
        <w:numPr>
          <w:ilvl w:val="0"/>
          <w:numId w:val="17"/>
        </w:numPr>
        <w:spacing w:after="99" w:line="240" w:lineRule="atLeast"/>
        <w:rPr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各參賽團隊均需指定聯絡人（同報名表），主辦單位得以聯絡人為該參賽單位之聯繫與奬勵發放對象（窗口），該團隊成員不得異議。</w:t>
      </w:r>
    </w:p>
    <w:p>
      <w:pPr>
        <w:pStyle w:val="List Paragraph"/>
        <w:numPr>
          <w:ilvl w:val="0"/>
          <w:numId w:val="18"/>
        </w:numPr>
        <w:bidi w:val="0"/>
        <w:spacing w:line="240" w:lineRule="atLeast"/>
        <w:ind w:right="0"/>
        <w:jc w:val="left"/>
        <w:rPr>
          <w:rFonts w:ascii="微軟正黑體" w:cs="微軟正黑體" w:hAnsi="微軟正黑體" w:eastAsia="微軟正黑體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本計畫如有未盡事宜，得另行補充或修改之。</w:t>
      </w:r>
    </w:p>
    <w:p>
      <w:pPr>
        <w:pStyle w:val="List Paragraph"/>
        <w:numPr>
          <w:ilvl w:val="0"/>
          <w:numId w:val="2"/>
        </w:numPr>
        <w:bidi w:val="0"/>
        <w:spacing w:line="240" w:lineRule="atLeast"/>
        <w:ind w:right="0"/>
        <w:jc w:val="left"/>
        <w:rPr>
          <w:rFonts w:ascii="微軟正黑體" w:cs="微軟正黑體" w:hAnsi="微軟正黑體" w:eastAsia="微軟正黑體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主辦單位：重塑高雄蚵仔寮漁村聚落綠色海洋人文地景計畫辦公室</w:t>
      </w:r>
    </w:p>
    <w:p>
      <w:pPr>
        <w:pStyle w:val="List Paragraph"/>
        <w:numPr>
          <w:ilvl w:val="0"/>
          <w:numId w:val="2"/>
        </w:numPr>
        <w:bidi w:val="0"/>
        <w:spacing w:line="240" w:lineRule="atLeast"/>
        <w:ind w:right="0"/>
        <w:jc w:val="left"/>
        <w:rPr>
          <w:rFonts w:ascii="微軟正黑體" w:cs="微軟正黑體" w:hAnsi="微軟正黑體" w:eastAsia="微軟正黑體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協辦單位：國立高雄大學創意設計與建築學系</w:t>
      </w:r>
    </w:p>
    <w:p>
      <w:pPr>
        <w:pStyle w:val="List Paragraph"/>
        <w:numPr>
          <w:ilvl w:val="0"/>
          <w:numId w:val="2"/>
        </w:numPr>
        <w:bidi w:val="0"/>
        <w:spacing w:line="240" w:lineRule="atLeast"/>
        <w:ind w:right="0"/>
        <w:jc w:val="left"/>
        <w:rPr>
          <w:rFonts w:ascii="微軟正黑體" w:cs="微軟正黑體" w:hAnsi="微軟正黑體" w:eastAsia="微軟正黑體"/>
          <w:rtl w:val="0"/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 xml:space="preserve">相關洽詢：國立高雄大學創意設計與建築學系 </w:t>
      </w:r>
      <w:r>
        <w:rPr>
          <w:rFonts w:ascii="微軟正黑體" w:cs="微軟正黑體" w:hAnsi="微軟正黑體" w:eastAsia="微軟正黑體"/>
          <w:rtl w:val="0"/>
          <w:lang w:val="en-US"/>
        </w:rPr>
        <w:t xml:space="preserve">07-591-9392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廖老師</w:t>
      </w: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Normal.0"/>
        <w:spacing w:line="240" w:lineRule="atLeast"/>
        <w:rPr>
          <w:rFonts w:ascii="微軟正黑體" w:cs="微軟正黑體" w:hAnsi="微軟正黑體" w:eastAsia="微軟正黑體"/>
        </w:rPr>
      </w:pPr>
    </w:p>
    <w:p>
      <w:pPr>
        <w:pStyle w:val="Default"/>
        <w:spacing w:line="240" w:lineRule="atLeast"/>
        <w:jc w:val="center"/>
        <w:rPr>
          <w:rFonts w:ascii="標楷體" w:cs="標楷體" w:hAnsi="標楷體" w:eastAsia="標楷體"/>
          <w:color w:val="000000"/>
          <w:sz w:val="36"/>
          <w:szCs w:val="36"/>
          <w:u w:color="000000"/>
        </w:rPr>
      </w:pPr>
      <w:r>
        <w:rPr>
          <w:rFonts w:ascii="標楷體" w:hAnsi="標楷體"/>
          <w:color w:val="000000"/>
          <w:sz w:val="36"/>
          <w:szCs w:val="36"/>
          <w:u w:color="000000"/>
          <w:rtl w:val="0"/>
          <w:lang w:val="en-US"/>
        </w:rPr>
        <w:t>2017</w:t>
      </w:r>
      <w:r>
        <w:rPr>
          <w:rFonts w:eastAsia="標楷體" w:hint="eastAsia"/>
          <w:color w:val="000000"/>
          <w:sz w:val="36"/>
          <w:szCs w:val="36"/>
          <w:u w:color="000000"/>
          <w:rtl w:val="0"/>
          <w:lang w:val="zh-TW" w:eastAsia="zh-TW"/>
        </w:rPr>
        <w:t xml:space="preserve">國立高雄大學 </w:t>
      </w:r>
    </w:p>
    <w:p>
      <w:pPr>
        <w:pStyle w:val="Default"/>
        <w:spacing w:line="240" w:lineRule="atLeast"/>
        <w:jc w:val="center"/>
        <w:rPr>
          <w:rFonts w:ascii="標楷體" w:cs="標楷體" w:hAnsi="標楷體" w:eastAsia="標楷體"/>
          <w:color w:val="000000"/>
          <w:sz w:val="36"/>
          <w:szCs w:val="36"/>
          <w:u w:color="000000"/>
        </w:rPr>
      </w:pPr>
      <w:r>
        <w:rPr>
          <w:rFonts w:ascii="標楷體" w:hAnsi="標楷體"/>
          <w:color w:val="000000"/>
          <w:sz w:val="36"/>
          <w:szCs w:val="36"/>
          <w:u w:color="000000"/>
          <w:rtl w:val="0"/>
          <w:lang w:val="en-US"/>
        </w:rPr>
        <w:t xml:space="preserve">- </w:t>
      </w:r>
      <w:r>
        <w:rPr>
          <w:rFonts w:eastAsia="標楷體" w:hint="eastAsia"/>
          <w:color w:val="000000"/>
          <w:sz w:val="36"/>
          <w:szCs w:val="36"/>
          <w:u w:color="000000"/>
          <w:rtl w:val="0"/>
          <w:lang w:val="zh-TW" w:eastAsia="zh-TW"/>
        </w:rPr>
        <w:t xml:space="preserve">重塑高雄蚵仔寮漁村聚落綠色海洋人文地景 </w:t>
      </w:r>
    </w:p>
    <w:p>
      <w:pPr>
        <w:pStyle w:val="Default"/>
        <w:spacing w:line="240" w:lineRule="atLeast"/>
        <w:jc w:val="center"/>
        <w:rPr>
          <w:rFonts w:ascii="標楷體" w:cs="標楷體" w:hAnsi="標楷體" w:eastAsia="標楷體"/>
          <w:color w:val="000000"/>
          <w:sz w:val="36"/>
          <w:szCs w:val="36"/>
          <w:u w:color="000000"/>
          <w:lang w:val="zh-TW" w:eastAsia="zh-TW"/>
        </w:rPr>
      </w:pPr>
      <w:r>
        <w:rPr>
          <w:rFonts w:eastAsia="標楷體" w:hint="eastAsia"/>
          <w:color w:val="000000"/>
          <w:sz w:val="36"/>
          <w:szCs w:val="36"/>
          <w:u w:color="000000"/>
          <w:rtl w:val="0"/>
          <w:lang w:val="zh-TW" w:eastAsia="zh-TW"/>
        </w:rPr>
        <w:t>漁港步道實作場域競圖</w:t>
      </w:r>
    </w:p>
    <w:p>
      <w:pPr>
        <w:pStyle w:val="Normal.0"/>
        <w:jc w:val="center"/>
        <w:rPr>
          <w:rFonts w:ascii="標楷體" w:cs="標楷體" w:hAnsi="標楷體" w:eastAsia="標楷體"/>
          <w:kern w:val="0"/>
          <w:sz w:val="28"/>
          <w:szCs w:val="28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36"/>
          <w:szCs w:val="36"/>
          <w:u w:color="000000"/>
          <w:lang w:val="zh-TW" w:eastAsia="zh-TW"/>
        </w:rPr>
      </w:pPr>
      <w:r>
        <w:rPr>
          <w:rFonts w:eastAsia="標楷體" w:hint="eastAsia"/>
          <w:color w:val="000000"/>
          <w:kern w:val="0"/>
          <w:sz w:val="36"/>
          <w:szCs w:val="36"/>
          <w:u w:color="000000"/>
          <w:rtl w:val="0"/>
          <w:lang w:val="zh-TW" w:eastAsia="zh-TW"/>
        </w:rPr>
        <w:t>著作財產權同意書</w:t>
      </w: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Default"/>
        <w:spacing w:line="240" w:lineRule="atLeast"/>
        <w:rPr>
          <w:rFonts w:ascii="標楷體" w:cs="標楷體" w:hAnsi="標楷體" w:eastAsia="標楷體"/>
          <w:color w:val="000000"/>
          <w:sz w:val="28"/>
          <w:szCs w:val="28"/>
          <w:u w:color="000000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著作人參與「</w:t>
      </w:r>
      <w:r>
        <w:rPr>
          <w:rFonts w:ascii="標楷體" w:hAnsi="標楷體"/>
          <w:color w:val="000000"/>
          <w:sz w:val="28"/>
          <w:szCs w:val="28"/>
          <w:u w:color="000000"/>
          <w:rtl w:val="0"/>
          <w:lang w:val="en-US"/>
        </w:rPr>
        <w:t>2017</w:t>
      </w:r>
      <w:r>
        <w:rPr>
          <w:rFonts w:eastAsia="標楷體" w:hint="eastAsia"/>
          <w:color w:val="000000"/>
          <w:sz w:val="28"/>
          <w:szCs w:val="28"/>
          <w:u w:color="000000"/>
          <w:rtl w:val="0"/>
          <w:lang w:val="zh-TW" w:eastAsia="zh-TW"/>
        </w:rPr>
        <w:t xml:space="preserve">國立高雄大學 </w:t>
      </w:r>
      <w:r>
        <w:rPr>
          <w:rFonts w:ascii="標楷體" w:hAnsi="標楷體"/>
          <w:color w:val="000000"/>
          <w:sz w:val="28"/>
          <w:szCs w:val="28"/>
          <w:u w:color="000000"/>
          <w:rtl w:val="0"/>
          <w:lang w:val="en-US"/>
        </w:rPr>
        <w:t xml:space="preserve">- </w:t>
      </w:r>
      <w:r>
        <w:rPr>
          <w:rFonts w:eastAsia="標楷體" w:hint="eastAsia"/>
          <w:color w:val="000000"/>
          <w:sz w:val="28"/>
          <w:szCs w:val="28"/>
          <w:u w:color="000000"/>
          <w:rtl w:val="0"/>
          <w:lang w:val="zh-TW" w:eastAsia="zh-TW"/>
        </w:rPr>
        <w:t>重塑高雄蚵仔寮漁村聚落綠色海洋人文地景 漁港步道實作場域競圖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」，茲同意配合教育部計畫辦公室進行展覽活動，將著作權讓與主辦單位所有，主辦單位擁有複製、公佈、發行、重製等權利。</w:t>
      </w:r>
    </w:p>
    <w:p>
      <w:pPr>
        <w:pStyle w:val="Normal.0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  <w:lang w:val="zh-TW" w:eastAsia="zh-TW"/>
        </w:rPr>
      </w:pP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著作人擔保本著作係著作人之原創性著作，著作人保證本作品未侵害他人著作產權，作品若涉及違法則由著作人自行負責。</w:t>
      </w: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ff0000"/>
          <w:kern w:val="0"/>
          <w:sz w:val="28"/>
          <w:szCs w:val="28"/>
          <w:u w:color="ff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  <w:lang w:val="zh-TW" w:eastAsia="zh-TW"/>
        </w:rPr>
      </w:pP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立同意書人：（簽章）</w:t>
      </w:r>
    </w:p>
    <w:p>
      <w:pPr>
        <w:pStyle w:val="Normal.0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  <w:lang w:val="zh-TW" w:eastAsia="zh-TW"/>
        </w:rPr>
      </w:pP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作者或代表人：</w:t>
      </w:r>
    </w:p>
    <w:p>
      <w:pPr>
        <w:pStyle w:val="Normal.0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  <w:lang w:val="zh-TW" w:eastAsia="zh-TW"/>
        </w:rPr>
      </w:pP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身分證字號：</w:t>
      </w: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</w:p>
    <w:p>
      <w:pPr>
        <w:pStyle w:val="Normal.0"/>
        <w:jc w:val="center"/>
        <w:rPr>
          <w:rFonts w:ascii="標楷體" w:cs="標楷體" w:hAnsi="標楷體" w:eastAsia="標楷體"/>
          <w:color w:val="000000"/>
          <w:kern w:val="0"/>
          <w:sz w:val="28"/>
          <w:szCs w:val="28"/>
          <w:u w:color="000000"/>
        </w:rPr>
      </w:pP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中</w:t>
      </w:r>
      <w:r>
        <w:rPr>
          <w:rFonts w:ascii="標楷體" w:hAnsi="標楷體"/>
          <w:color w:val="000000"/>
          <w:kern w:val="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華</w:t>
      </w:r>
      <w:r>
        <w:rPr>
          <w:rFonts w:ascii="標楷體" w:hAnsi="標楷體"/>
          <w:color w:val="000000"/>
          <w:kern w:val="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民</w:t>
      </w:r>
      <w:r>
        <w:rPr>
          <w:rFonts w:ascii="標楷體" w:hAnsi="標楷體"/>
          <w:color w:val="000000"/>
          <w:kern w:val="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國</w:t>
      </w:r>
      <w:r>
        <w:rPr>
          <w:rFonts w:ascii="標楷體" w:hAnsi="標楷體"/>
          <w:color w:val="000000"/>
          <w:kern w:val="0"/>
          <w:sz w:val="28"/>
          <w:szCs w:val="28"/>
          <w:u w:color="000000"/>
          <w:rtl w:val="0"/>
          <w:lang w:val="en-US"/>
        </w:rPr>
        <w:t xml:space="preserve"> 106 </w:t>
      </w: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年</w:t>
      </w:r>
      <w:r>
        <w:rPr>
          <w:rFonts w:ascii="標楷體" w:hAnsi="標楷體"/>
          <w:color w:val="000000"/>
          <w:kern w:val="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月</w:t>
      </w:r>
      <w:r>
        <w:rPr>
          <w:rFonts w:ascii="標楷體" w:hAnsi="標楷體"/>
          <w:color w:val="000000"/>
          <w:kern w:val="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eastAsia="標楷體" w:hint="eastAsia"/>
          <w:color w:val="000000"/>
          <w:kern w:val="0"/>
          <w:sz w:val="28"/>
          <w:szCs w:val="28"/>
          <w:u w:color="000000"/>
          <w:rtl w:val="0"/>
          <w:lang w:val="zh-TW" w:eastAsia="zh-TW"/>
        </w:rPr>
        <w:t>日</w:t>
      </w:r>
    </w:p>
    <w:p>
      <w:pPr>
        <w:pStyle w:val="Default"/>
        <w:rPr>
          <w:sz w:val="16"/>
          <w:szCs w:val="16"/>
        </w:rPr>
      </w:pPr>
    </w:p>
    <w:p>
      <w:pPr>
        <w:pStyle w:val="Default"/>
        <w:spacing w:line="240" w:lineRule="atLeast"/>
        <w:jc w:val="center"/>
        <w:rPr>
          <w:rFonts w:ascii="標楷體" w:cs="標楷體" w:hAnsi="標楷體" w:eastAsia="標楷體"/>
          <w:color w:val="000000"/>
          <w:sz w:val="32"/>
          <w:szCs w:val="32"/>
          <w:u w:color="000000"/>
        </w:rPr>
      </w:pPr>
      <w:r>
        <w:rPr>
          <w:rFonts w:ascii="標楷體" w:hAnsi="標楷體"/>
          <w:color w:val="000000"/>
          <w:sz w:val="32"/>
          <w:szCs w:val="32"/>
          <w:u w:color="000000"/>
          <w:rtl w:val="0"/>
          <w:lang w:val="en-US"/>
        </w:rPr>
        <w:t>2017</w:t>
      </w:r>
      <w:r>
        <w:rPr>
          <w:rFonts w:eastAsia="標楷體" w:hint="eastAsia"/>
          <w:color w:val="000000"/>
          <w:sz w:val="32"/>
          <w:szCs w:val="32"/>
          <w:u w:color="000000"/>
          <w:rtl w:val="0"/>
          <w:lang w:val="zh-TW" w:eastAsia="zh-TW"/>
        </w:rPr>
        <w:t xml:space="preserve">國立高雄大學 </w:t>
      </w:r>
    </w:p>
    <w:p>
      <w:pPr>
        <w:pStyle w:val="Default"/>
        <w:spacing w:line="240" w:lineRule="atLeast"/>
        <w:jc w:val="center"/>
        <w:rPr>
          <w:rFonts w:ascii="標楷體" w:cs="標楷體" w:hAnsi="標楷體" w:eastAsia="標楷體"/>
          <w:color w:val="000000"/>
          <w:sz w:val="32"/>
          <w:szCs w:val="32"/>
          <w:u w:color="000000"/>
        </w:rPr>
      </w:pPr>
      <w:r>
        <w:rPr>
          <w:rFonts w:ascii="標楷體" w:hAnsi="標楷體"/>
          <w:color w:val="000000"/>
          <w:sz w:val="32"/>
          <w:szCs w:val="32"/>
          <w:u w:color="000000"/>
          <w:rtl w:val="0"/>
          <w:lang w:val="en-US"/>
        </w:rPr>
        <w:t xml:space="preserve">- </w:t>
      </w:r>
      <w:r>
        <w:rPr>
          <w:rFonts w:eastAsia="標楷體" w:hint="eastAsia"/>
          <w:color w:val="000000"/>
          <w:sz w:val="32"/>
          <w:szCs w:val="32"/>
          <w:u w:color="000000"/>
          <w:rtl w:val="0"/>
          <w:lang w:val="zh-TW" w:eastAsia="zh-TW"/>
        </w:rPr>
        <w:t xml:space="preserve">重塑高雄蚵仔寮漁村聚落綠色海洋人文地景 </w:t>
      </w:r>
    </w:p>
    <w:p>
      <w:pPr>
        <w:pStyle w:val="Normal.0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漁港步道實作場域競圖報名表</w:t>
      </w:r>
    </w:p>
    <w:p>
      <w:pPr>
        <w:pStyle w:val="Normal.0"/>
        <w:jc w:val="center"/>
        <w:rPr>
          <w:rFonts w:ascii="標楷體" w:cs="標楷體" w:hAnsi="標楷體" w:eastAsia="標楷體"/>
          <w:sz w:val="30"/>
          <w:szCs w:val="30"/>
        </w:rPr>
      </w:pPr>
    </w:p>
    <w:tbl>
      <w:tblPr>
        <w:tblW w:w="85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12"/>
        <w:gridCol w:w="2182"/>
        <w:gridCol w:w="1541"/>
        <w:gridCol w:w="160"/>
        <w:gridCol w:w="3027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參賽隊伍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名稱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作品名稱</w:t>
            </w:r>
          </w:p>
        </w:tc>
        <w:tc>
          <w:tcPr>
            <w:tcW w:type="dxa" w:w="3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參賽人員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69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所屬單位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作品規格</w:t>
            </w:r>
          </w:p>
        </w:tc>
        <w:tc>
          <w:tcPr>
            <w:tcW w:type="dxa" w:w="3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標楷體" w:hAnsi="標楷體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d0ddef"/>
        </w:tblPrEx>
        <w:trPr>
          <w:trHeight w:val="6250" w:hRule="atLeast"/>
        </w:trPr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設計說明</w:t>
            </w:r>
          </w:p>
        </w:tc>
        <w:tc>
          <w:tcPr>
            <w:tcW w:type="dxa" w:w="69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.0"/>
        <w:jc w:val="center"/>
        <w:rPr>
          <w:rFonts w:ascii="標楷體" w:cs="標楷體" w:hAnsi="標楷體" w:eastAsia="標楷體"/>
          <w:sz w:val="30"/>
          <w:szCs w:val="30"/>
        </w:rPr>
      </w:pPr>
    </w:p>
    <w:p>
      <w:pPr>
        <w:pStyle w:val="Normal.0"/>
        <w:rPr>
          <w:rFonts w:ascii="標楷體" w:cs="標楷體" w:hAnsi="標楷體" w:eastAsia="標楷體"/>
        </w:rPr>
      </w:pPr>
    </w:p>
    <w:p>
      <w:pPr>
        <w:pStyle w:val="Normal.0"/>
        <w:rPr>
          <w:rFonts w:ascii="標楷體" w:cs="標楷體" w:hAnsi="標楷體" w:eastAsia="標楷體"/>
        </w:rPr>
      </w:pPr>
    </w:p>
    <w:p>
      <w:pPr>
        <w:pStyle w:val="Default"/>
        <w:spacing w:line="240" w:lineRule="atLeast"/>
        <w:jc w:val="center"/>
        <w:rPr>
          <w:rFonts w:ascii="標楷體" w:cs="標楷體" w:hAnsi="標楷體" w:eastAsia="標楷體"/>
          <w:color w:val="000000"/>
          <w:sz w:val="32"/>
          <w:szCs w:val="32"/>
          <w:u w:color="000000"/>
        </w:rPr>
      </w:pPr>
      <w:r>
        <w:rPr>
          <w:rFonts w:ascii="標楷體" w:hAnsi="標楷體"/>
          <w:color w:val="000000"/>
          <w:sz w:val="32"/>
          <w:szCs w:val="32"/>
          <w:u w:color="000000"/>
          <w:rtl w:val="0"/>
          <w:lang w:val="en-US"/>
        </w:rPr>
        <w:t>2017</w:t>
      </w:r>
      <w:r>
        <w:rPr>
          <w:rFonts w:eastAsia="標楷體" w:hint="eastAsia"/>
          <w:color w:val="000000"/>
          <w:sz w:val="32"/>
          <w:szCs w:val="32"/>
          <w:u w:color="000000"/>
          <w:rtl w:val="0"/>
          <w:lang w:val="zh-TW" w:eastAsia="zh-TW"/>
        </w:rPr>
        <w:t xml:space="preserve">國立高雄大學 </w:t>
      </w:r>
    </w:p>
    <w:p>
      <w:pPr>
        <w:pStyle w:val="Default"/>
        <w:spacing w:line="240" w:lineRule="atLeast"/>
        <w:jc w:val="center"/>
        <w:rPr>
          <w:rFonts w:ascii="標楷體" w:cs="標楷體" w:hAnsi="標楷體" w:eastAsia="標楷體"/>
          <w:color w:val="000000"/>
          <w:sz w:val="32"/>
          <w:szCs w:val="32"/>
          <w:u w:color="000000"/>
        </w:rPr>
      </w:pPr>
      <w:r>
        <w:rPr>
          <w:rFonts w:ascii="標楷體" w:hAnsi="標楷體"/>
          <w:color w:val="000000"/>
          <w:sz w:val="32"/>
          <w:szCs w:val="32"/>
          <w:u w:color="000000"/>
          <w:rtl w:val="0"/>
          <w:lang w:val="en-US"/>
        </w:rPr>
        <w:t xml:space="preserve">- </w:t>
      </w:r>
      <w:r>
        <w:rPr>
          <w:rFonts w:eastAsia="標楷體" w:hint="eastAsia"/>
          <w:color w:val="000000"/>
          <w:sz w:val="32"/>
          <w:szCs w:val="32"/>
          <w:u w:color="000000"/>
          <w:rtl w:val="0"/>
          <w:lang w:val="zh-TW" w:eastAsia="zh-TW"/>
        </w:rPr>
        <w:t xml:space="preserve">重塑高雄蚵仔寮漁村聚落綠色海洋人文地景 </w:t>
      </w:r>
    </w:p>
    <w:p>
      <w:pPr>
        <w:pStyle w:val="Normal.0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漁港步道實作場域競圖居民與遊客訪談紀錄表</w:t>
      </w:r>
    </w:p>
    <w:p>
      <w:pPr>
        <w:pStyle w:val="Normal.0"/>
        <w:rPr>
          <w:rFonts w:ascii="標楷體" w:cs="標楷體" w:hAnsi="標楷體" w:eastAsia="標楷體"/>
          <w:sz w:val="28"/>
          <w:szCs w:val="28"/>
        </w:rPr>
      </w:pPr>
    </w:p>
    <w:p>
      <w:pPr>
        <w:pStyle w:val="Normal.0"/>
        <w:rPr>
          <w:rFonts w:ascii="標楷體" w:cs="標楷體" w:hAnsi="標楷體" w:eastAsia="標楷體"/>
          <w:sz w:val="28"/>
          <w:szCs w:val="28"/>
        </w:rPr>
      </w:pPr>
    </w:p>
    <w:p>
      <w:pPr>
        <w:pStyle w:val="Normal.0"/>
        <w:rPr>
          <w:rFonts w:ascii="標楷體" w:cs="標楷體" w:hAnsi="標楷體" w:eastAsia="標楷體"/>
          <w:sz w:val="28"/>
          <w:szCs w:val="28"/>
        </w:rPr>
      </w:pPr>
    </w:p>
    <w:p>
      <w:pPr>
        <w:pStyle w:val="Normal.0"/>
        <w:rPr>
          <w:rFonts w:ascii="標楷體" w:cs="標楷體" w:hAnsi="標楷體" w:eastAsia="標楷體"/>
          <w:sz w:val="28"/>
          <w:szCs w:val="28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為了解設計依據，請實地踏勘並訪談當地居民與遊客，於下方欄位以條列方式撰寫問題點與設計對應方法</w:t>
      </w:r>
    </w:p>
    <w:p>
      <w:pPr>
        <w:pStyle w:val="Normal.0"/>
        <w:rPr>
          <w:rFonts w:ascii="標楷體" w:cs="標楷體" w:hAnsi="標楷體" w:eastAsia="標楷體"/>
        </w:rPr>
      </w:pPr>
    </w:p>
    <w:tbl>
      <w:tblPr>
        <w:tblW w:w="85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0"/>
        <w:gridCol w:w="6938"/>
      </w:tblGrid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16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關係型態</w:t>
            </w:r>
          </w:p>
        </w:tc>
        <w:tc>
          <w:tcPr>
            <w:tcW w:type="dxa" w:w="693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內容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640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當地需求</w:t>
            </w:r>
          </w:p>
        </w:tc>
        <w:tc>
          <w:tcPr>
            <w:tcW w:type="dxa" w:w="6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標楷體" w:hAnsi="標楷體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標楷體" w:hAnsi="標楷體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640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遊客需求</w:t>
            </w:r>
          </w:p>
        </w:tc>
        <w:tc>
          <w:tcPr>
            <w:tcW w:type="dxa" w:w="6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54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74" w:hanging="374"/>
              <w:jc w:val="both"/>
            </w:pPr>
            <w:r>
              <w:rPr>
                <w:rFonts w:ascii="標楷體" w:hAnsi="標楷體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64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標楷體" w:hAnsi="標楷體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</w:p>
        </w:tc>
      </w:tr>
      <w:tr>
        <w:tblPrEx>
          <w:shd w:val="clear" w:color="auto" w:fill="d0ddef"/>
        </w:tblPrEx>
        <w:trPr>
          <w:trHeight w:val="5060" w:hRule="atLeast"/>
        </w:trPr>
        <w:tc>
          <w:tcPr>
            <w:tcW w:type="dxa" w:w="16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設計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對應方法</w:t>
            </w:r>
          </w:p>
        </w:tc>
        <w:tc>
          <w:tcPr>
            <w:tcW w:type="dxa" w:w="69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both"/>
            </w:pPr>
            <w:r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.0"/>
        <w:rPr>
          <w:rFonts w:ascii="標楷體" w:cs="標楷體" w:hAnsi="標楷體" w:eastAsia="標楷體"/>
        </w:rPr>
      </w:pPr>
    </w:p>
    <w:p>
      <w:pPr>
        <w:pStyle w:val="Normal.0"/>
        <w:jc w:val="center"/>
        <w:rPr>
          <w:rFonts w:ascii="標楷體" w:cs="標楷體" w:hAnsi="標楷體" w:eastAsia="標楷體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若欄位不足，參賽人員可自行增加欄位填寫</w:t>
      </w:r>
    </w:p>
    <w:p>
      <w:pPr>
        <w:pStyle w:val="Normal.0"/>
        <w:jc w:val="center"/>
      </w:pPr>
      <w:r>
        <w:rPr>
          <w:rFonts w:ascii="標楷體" w:cs="標楷體" w:hAnsi="標楷體" w:eastAsia="標楷體"/>
        </w:rPr>
      </w:r>
    </w:p>
    <w:sectPr>
      <w:headerReference w:type="default" r:id="rId4"/>
      <w:footerReference w:type="default" r:id="rId5"/>
      <w:pgSz w:w="11900" w:h="17340" w:orient="portrait"/>
      <w:pgMar w:top="1363" w:right="1583" w:bottom="939" w:left="1715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微軟正黑體">
    <w:charset w:val="00"/>
    <w:family w:val="roman"/>
    <w:pitch w:val="default"/>
  </w:font>
  <w:font w:name="Calibri">
    <w:charset w:val="00"/>
    <w:family w:val="roman"/>
    <w:pitch w:val="default"/>
  </w:font>
  <w:font w:name="Euphemia UCAS">
    <w:charset w:val="00"/>
    <w:family w:val="roman"/>
    <w:pitch w:val="default"/>
  </w:font>
  <w:font w:name="標楷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taiwaneseCounting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輸入樣式 2"/>
  </w:abstractNum>
  <w:abstractNum w:abstractNumId="3">
    <w:multiLevelType w:val="hybridMultilevel"/>
    <w:styleLink w:val="已輸入樣式 2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70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268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835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544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11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678" w:hanging="1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386" w:hanging="1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輸入樣式 3"/>
  </w:abstractNum>
  <w:abstractNum w:abstractNumId="5">
    <w:multiLevelType w:val="hybridMultilevel"/>
    <w:styleLink w:val="已輸入樣式 3"/>
    <w:lvl w:ilvl="0">
      <w:start w:val="1"/>
      <w:numFmt w:val="decimal"/>
      <w:suff w:val="tab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11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51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691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已輸入樣式 4"/>
  </w:abstractNum>
  <w:abstractNum w:abstractNumId="7">
    <w:multiLevelType w:val="hybridMultilevel"/>
    <w:styleLink w:val="已輸入樣式 4"/>
    <w:lvl w:ilvl="0">
      <w:start w:val="1"/>
      <w:numFmt w:val="decimal"/>
      <w:suff w:val="tab"/>
      <w:lvlText w:val="%1."/>
      <w:lvlJc w:val="left"/>
      <w:pPr>
        <w:ind w:left="851" w:hanging="424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51" w:hanging="544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31" w:hanging="677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11" w:hanging="544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91" w:hanging="544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71" w:hanging="677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51" w:hanging="544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331" w:hanging="544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811" w:hanging="677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已輸入樣式 5"/>
  </w:abstractNum>
  <w:abstractNum w:abstractNumId="9">
    <w:multiLevelType w:val="hybridMultilevel"/>
    <w:styleLink w:val="已輸入樣式 5"/>
    <w:lvl w:ilvl="0">
      <w:start w:val="1"/>
      <w:numFmt w:val="decimal"/>
      <w:suff w:val="tab"/>
      <w:lvlText w:val="%1."/>
      <w:lvlJc w:val="left"/>
      <w:pPr>
        <w:ind w:left="851" w:hanging="42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5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31" w:hanging="678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1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9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71" w:hanging="678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5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33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811" w:hanging="678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已輸入樣式 6"/>
  </w:abstractNum>
  <w:abstractNum w:abstractNumId="11">
    <w:multiLevelType w:val="hybridMultilevel"/>
    <w:styleLink w:val="已輸入樣式 6"/>
    <w:lvl w:ilvl="0">
      <w:start w:val="1"/>
      <w:numFmt w:val="decimal"/>
      <w:suff w:val="tab"/>
      <w:lvlText w:val="%1."/>
      <w:lvlJc w:val="left"/>
      <w:pPr>
        <w:ind w:left="851" w:hanging="42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5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31" w:hanging="678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1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9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71" w:hanging="678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5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331" w:hanging="545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811" w:hanging="678"/>
      </w:pPr>
      <w:rPr>
        <w:rFonts w:ascii="Euphemia UCAS" w:cs="Euphemia UCAS" w:hAnsi="Euphemia UCAS" w:eastAsia="Euphemia UCA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888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368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48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28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808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288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768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248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4728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</w:lvlOverride>
  </w:num>
  <w:num w:numId="10">
    <w:abstractNumId w:val="7"/>
  </w:num>
  <w:num w:numId="11">
    <w:abstractNumId w:val="6"/>
  </w:num>
  <w:num w:numId="12">
    <w:abstractNumId w:val="0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0"/>
    <w:lvlOverride w:ilvl="0">
      <w:startOverride w:val="7"/>
    </w:lvlOverride>
  </w:num>
  <w:num w:numId="16">
    <w:abstractNumId w:val="11"/>
  </w:num>
  <w:num w:numId="17">
    <w:abstractNumId w:val="10"/>
  </w:num>
  <w:num w:numId="18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微軟正黑體" w:cs="微軟正黑體" w:hAnsi="微軟正黑體" w:eastAsia="微軟正黑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numbering" w:styleId="已輸入樣式 2">
    <w:name w:val="已輸入樣式 2"/>
    <w:pPr>
      <w:numPr>
        <w:numId w:val="3"/>
      </w:numPr>
    </w:pPr>
  </w:style>
  <w:style w:type="numbering" w:styleId="已輸入樣式 3">
    <w:name w:val="已輸入樣式 3"/>
    <w:pPr>
      <w:numPr>
        <w:numId w:val="6"/>
      </w:numPr>
    </w:pPr>
  </w:style>
  <w:style w:type="numbering" w:styleId="已輸入樣式 4">
    <w:name w:val="已輸入樣式 4"/>
    <w:pPr>
      <w:numPr>
        <w:numId w:val="10"/>
      </w:numPr>
    </w:pPr>
  </w:style>
  <w:style w:type="numbering" w:styleId="已輸入樣式 5">
    <w:name w:val="已輸入樣式 5"/>
    <w:pPr>
      <w:numPr>
        <w:numId w:val="13"/>
      </w:numPr>
    </w:pPr>
  </w:style>
  <w:style w:type="numbering" w:styleId="已輸入樣式 6">
    <w:name w:val="已輸入樣式 6"/>
    <w:pPr>
      <w:numPr>
        <w:numId w:val="1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