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jc w:val="center"/>
        <w:rPr>
          <w:b w:val="1"/>
          <w:bCs w:val="1"/>
          <w:sz w:val="34"/>
          <w:szCs w:val="34"/>
          <w:u w:color="000000"/>
        </w:rPr>
      </w:pPr>
      <w:r>
        <w:rPr>
          <w:b w:val="1"/>
          <w:bCs w:val="1"/>
          <w:sz w:val="34"/>
          <w:szCs w:val="34"/>
          <w:u w:color="000000"/>
          <w:rtl w:val="0"/>
          <w:lang w:val="en-US"/>
        </w:rPr>
        <w:t>2017</w:t>
      </w:r>
      <w:r>
        <w:rPr>
          <w:rFonts w:eastAsia="Arial Unicode MS" w:hint="eastAsia"/>
          <w:sz w:val="34"/>
          <w:szCs w:val="34"/>
          <w:u w:color="000000"/>
          <w:rtl w:val="0"/>
          <w:lang w:val="zh-TW" w:eastAsia="zh-TW"/>
        </w:rPr>
        <w:t>國立高雄大學</w:t>
      </w:r>
      <w:r>
        <w:rPr>
          <w:b w:val="1"/>
          <w:bCs w:val="1"/>
          <w:sz w:val="34"/>
          <w:szCs w:val="34"/>
          <w:u w:color="000000"/>
          <w:rtl w:val="0"/>
          <w:lang w:val="zh-TW" w:eastAsia="zh-TW"/>
        </w:rPr>
        <w:t xml:space="preserve"> </w:t>
      </w:r>
      <w:r>
        <w:rPr>
          <w:b w:val="1"/>
          <w:bCs w:val="1"/>
          <w:sz w:val="34"/>
          <w:szCs w:val="34"/>
          <w:u w:color="000000"/>
          <w:rtl w:val="0"/>
          <w:lang w:val="en-US"/>
        </w:rPr>
        <w:t xml:space="preserve">- </w:t>
      </w:r>
      <w:r>
        <w:rPr>
          <w:rFonts w:eastAsia="Arial Unicode MS" w:hint="eastAsia"/>
          <w:sz w:val="34"/>
          <w:szCs w:val="34"/>
          <w:u w:color="000000"/>
          <w:rtl w:val="0"/>
          <w:lang w:val="zh-TW" w:eastAsia="zh-TW"/>
        </w:rPr>
        <w:t>重塑高雄蚵仔寮漁村聚落綠色海洋人文地景</w:t>
      </w:r>
      <w:r>
        <w:rPr>
          <w:b w:val="1"/>
          <w:bCs w:val="1"/>
          <w:sz w:val="34"/>
          <w:szCs w:val="34"/>
          <w:u w:color="000000"/>
          <w:rtl w:val="0"/>
          <w:lang w:val="en-US"/>
        </w:rPr>
        <w:t xml:space="preserve"> 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jc w:val="center"/>
        <w:rPr>
          <w:b w:val="1"/>
          <w:bCs w:val="1"/>
          <w:sz w:val="34"/>
          <w:szCs w:val="34"/>
          <w:u w:color="000000"/>
          <w:lang w:val="zh-TW" w:eastAsia="zh-TW"/>
        </w:rPr>
      </w:pPr>
      <w:r>
        <w:rPr>
          <w:rFonts w:eastAsia="Arial Unicode MS" w:hint="eastAsia"/>
          <w:sz w:val="34"/>
          <w:szCs w:val="34"/>
          <w:u w:color="000000"/>
          <w:rtl w:val="0"/>
          <w:lang w:val="zh-TW" w:eastAsia="zh-TW"/>
        </w:rPr>
        <w:t>漁港步道實作場域競圖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jc w:val="center"/>
        <w:rPr>
          <w:rFonts w:ascii="標楷體" w:cs="標楷體" w:hAnsi="標楷體" w:eastAsia="標楷體"/>
          <w:sz w:val="26"/>
          <w:szCs w:val="26"/>
          <w:u w:color="000000"/>
          <w:lang w:val="zh-TW" w:eastAsia="zh-TW"/>
        </w:rPr>
      </w:pPr>
      <w:r>
        <w:rPr>
          <w:rFonts w:ascii="標楷體" w:hAnsi="標楷體" w:hint="default"/>
          <w:sz w:val="26"/>
          <w:szCs w:val="26"/>
          <w:u w:color="000000"/>
          <w:rtl w:val="0"/>
          <w:lang w:val="zh-TW" w:eastAsia="zh-TW"/>
        </w:rPr>
        <w:t>———————————————————————————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jc w:val="center"/>
        <w:rPr>
          <w:sz w:val="26"/>
          <w:szCs w:val="26"/>
          <w:u w:color="000000"/>
          <w:lang w:val="zh-TW" w:eastAsia="zh-TW"/>
        </w:rPr>
      </w:pP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b w:val="1"/>
          <w:bCs w:val="1"/>
          <w:sz w:val="26"/>
          <w:szCs w:val="26"/>
          <w:u w:color="00000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一、設計項目：漁港步道之公共互動裝置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sz w:val="26"/>
          <w:szCs w:val="26"/>
          <w:u w:color="000000"/>
          <w:lang w:val="zh-TW" w:eastAsia="zh-TW"/>
        </w:rPr>
      </w:pP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sz w:val="26"/>
          <w:szCs w:val="26"/>
          <w:u w:color="00000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設計內容：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b w:val="1"/>
          <w:bCs w:val="1"/>
          <w:sz w:val="26"/>
          <w:szCs w:val="26"/>
          <w:u w:color="000000"/>
          <w:lang w:val="zh-TW" w:eastAsia="zh-TW"/>
        </w:rPr>
      </w:pP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sz w:val="26"/>
          <w:szCs w:val="26"/>
          <w:u w:color="000000"/>
          <w:lang w:val="zh-TW" w:eastAsia="zh-TW"/>
        </w:rPr>
      </w:pPr>
      <w:r>
        <w:rPr>
          <w:b w:val="1"/>
          <w:bCs w:val="1"/>
          <w:sz w:val="26"/>
          <w:szCs w:val="26"/>
          <w:u w:color="000000"/>
          <w:rtl w:val="0"/>
          <w:lang w:val="zh-TW" w:eastAsia="zh-TW"/>
        </w:rPr>
        <w:t xml:space="preserve">       </w:t>
      </w: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本設計以綠色海洋意象出發來建立漁港聚落的人文地景，鼓勵參賽者找尋漁港的創作語彙，例如魚鱗、魚刺、風螺殼等當地代表性元素納入設計意象。設計說明包含基地分析、設計概念、設計手法包含造型、色彩、材質的設定，估價表、工期規劃、居民訪談紀錄與對應居民需求之方法。居民和遊客亦可藉由互動裝置交流，並與裝置產生站、鑽、坐等肢體動作。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sz w:val="26"/>
          <w:szCs w:val="26"/>
          <w:u w:color="000000"/>
          <w:lang w:val="zh-TW" w:eastAsia="zh-TW"/>
        </w:rPr>
      </w:pP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b w:val="1"/>
          <w:bCs w:val="1"/>
          <w:sz w:val="26"/>
          <w:szCs w:val="26"/>
          <w:u w:color="00000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二、參賽資格：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sz w:val="26"/>
          <w:szCs w:val="26"/>
          <w:u w:color="000000"/>
          <w:lang w:val="zh-TW" w:eastAsia="zh-TW"/>
        </w:rPr>
      </w:pPr>
    </w:p>
    <w:p>
      <w:pPr>
        <w:pStyle w:val="預設值"/>
        <w:widowControl w:val="0"/>
        <w:numPr>
          <w:ilvl w:val="0"/>
          <w:numId w:val="2"/>
        </w:numPr>
        <w:bidi w:val="0"/>
        <w:spacing w:after="138" w:line="240" w:lineRule="atLeast"/>
        <w:ind w:right="0"/>
        <w:jc w:val="left"/>
        <w:rPr>
          <w:sz w:val="26"/>
          <w:szCs w:val="26"/>
          <w:u w:color="000000"/>
          <w:rtl w:val="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國立高雄大學所有在籍之大學部及研究所學生。</w:t>
      </w:r>
    </w:p>
    <w:p>
      <w:pPr>
        <w:pStyle w:val="預設值"/>
        <w:widowControl w:val="0"/>
        <w:numPr>
          <w:ilvl w:val="0"/>
          <w:numId w:val="2"/>
        </w:numPr>
        <w:bidi w:val="0"/>
        <w:spacing w:after="138" w:line="240" w:lineRule="atLeast"/>
        <w:ind w:right="0"/>
        <w:jc w:val="left"/>
        <w:rPr>
          <w:sz w:val="26"/>
          <w:szCs w:val="26"/>
          <w:u w:color="000000"/>
          <w:rtl w:val="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梓官區民。</w:t>
      </w:r>
    </w:p>
    <w:p>
      <w:pPr>
        <w:pStyle w:val="預設值"/>
        <w:widowControl w:val="0"/>
        <w:numPr>
          <w:ilvl w:val="0"/>
          <w:numId w:val="2"/>
        </w:numPr>
        <w:bidi w:val="0"/>
        <w:spacing w:after="138" w:line="240" w:lineRule="atLeast"/>
        <w:ind w:right="0"/>
        <w:jc w:val="left"/>
        <w:rPr>
          <w:sz w:val="26"/>
          <w:szCs w:val="26"/>
          <w:u w:color="000000"/>
          <w:rtl w:val="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作品可以「個人」或「團隊」參加，「團隊」不限人數。</w:t>
      </w:r>
    </w:p>
    <w:p>
      <w:pPr>
        <w:pStyle w:val="預設值"/>
        <w:widowControl w:val="0"/>
        <w:numPr>
          <w:ilvl w:val="0"/>
          <w:numId w:val="2"/>
        </w:numPr>
        <w:bidi w:val="0"/>
        <w:spacing w:line="240" w:lineRule="atLeast"/>
        <w:ind w:right="0"/>
        <w:jc w:val="left"/>
        <w:rPr>
          <w:sz w:val="26"/>
          <w:szCs w:val="26"/>
          <w:u w:color="000000"/>
          <w:rtl w:val="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每人</w:t>
      </w:r>
      <w:r>
        <w:rPr>
          <w:sz w:val="26"/>
          <w:szCs w:val="26"/>
          <w:u w:color="000000"/>
          <w:rtl w:val="0"/>
          <w:lang w:val="en-US"/>
        </w:rPr>
        <w:t>/</w:t>
      </w: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組參賽者作品以壹件為限。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sz w:val="26"/>
          <w:szCs w:val="26"/>
          <w:u w:color="000000"/>
        </w:rPr>
      </w:pP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b w:val="1"/>
          <w:bCs w:val="1"/>
          <w:sz w:val="26"/>
          <w:szCs w:val="26"/>
          <w:u w:color="000000"/>
          <w:lang w:val="zh-TW" w:eastAsia="zh-TW"/>
        </w:rPr>
      </w:pPr>
      <w:r>
        <w:rPr>
          <w:rFonts w:eastAsia="Arial Unicode MS" w:hint="eastAsia"/>
          <w:sz w:val="26"/>
          <w:szCs w:val="26"/>
          <w:rtl w:val="0"/>
          <w:lang w:val="zh-TW" w:eastAsia="zh-TW"/>
        </w:rPr>
        <w:t>三、作品繳交</w:t>
      </w: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：</w:t>
      </w:r>
    </w:p>
    <w:p>
      <w:pPr>
        <w:pStyle w:val="預設值"/>
        <w:widowControl w:val="0"/>
        <w:numPr>
          <w:ilvl w:val="0"/>
          <w:numId w:val="4"/>
        </w:numPr>
        <w:bidi w:val="0"/>
        <w:spacing w:after="27" w:line="240" w:lineRule="atLeast"/>
        <w:ind w:right="0"/>
        <w:jc w:val="left"/>
        <w:rPr>
          <w:sz w:val="26"/>
          <w:szCs w:val="26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請先下載「著作財產權同意書」、「報名表」及「居民與遊客訪談紀錄表」。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（詳情請下載附件）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以上連同作品一併繳交。</w:t>
      </w:r>
    </w:p>
    <w:p>
      <w:pPr>
        <w:pStyle w:val="預設值"/>
        <w:widowControl w:val="0"/>
        <w:numPr>
          <w:ilvl w:val="0"/>
          <w:numId w:val="4"/>
        </w:numPr>
        <w:bidi w:val="0"/>
        <w:spacing w:after="27" w:line="240" w:lineRule="atLeast"/>
        <w:ind w:right="0"/>
        <w:jc w:val="left"/>
        <w:rPr>
          <w:sz w:val="26"/>
          <w:szCs w:val="26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第一階段紙本與電子檔作品收件截止時間為</w:t>
      </w:r>
      <w:r>
        <w:rPr>
          <w:color w:val="ff2d21"/>
          <w:sz w:val="26"/>
          <w:szCs w:val="26"/>
          <w:u w:color="ff0000"/>
          <w:rtl w:val="0"/>
          <w:lang w:val="en-US" w:eastAsia="zh-TW"/>
        </w:rPr>
        <w:t>2017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ff2d21"/>
          <w:sz w:val="26"/>
          <w:szCs w:val="26"/>
          <w:u w:color="ff0000"/>
          <w:rtl w:val="0"/>
          <w:lang w:val="zh-TW" w:eastAsia="zh-TW"/>
        </w:rPr>
        <w:t>年</w:t>
      </w:r>
      <w:r>
        <w:rPr>
          <w:color w:val="ff2d21"/>
          <w:sz w:val="26"/>
          <w:szCs w:val="26"/>
          <w:u w:color="ff0000"/>
          <w:rtl w:val="0"/>
          <w:lang w:val="en-US" w:eastAsia="zh-TW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ff2d21"/>
          <w:sz w:val="26"/>
          <w:szCs w:val="26"/>
          <w:u w:color="ff0000"/>
          <w:rtl w:val="0"/>
          <w:lang w:val="zh-TW" w:eastAsia="zh-TW"/>
        </w:rPr>
        <w:t>月</w:t>
      </w:r>
      <w:r>
        <w:rPr>
          <w:color w:val="ff2d21"/>
          <w:sz w:val="26"/>
          <w:szCs w:val="26"/>
          <w:u w:color="ff0000"/>
          <w:rtl w:val="0"/>
          <w:lang w:val="en-US" w:eastAsia="zh-TW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ff2d21"/>
          <w:sz w:val="26"/>
          <w:szCs w:val="26"/>
          <w:u w:color="ff0000"/>
          <w:rtl w:val="0"/>
          <w:lang w:val="zh-TW" w:eastAsia="zh-TW"/>
        </w:rPr>
        <w:t>日下午</w:t>
      </w:r>
      <w:r>
        <w:rPr>
          <w:color w:val="ff2d21"/>
          <w:sz w:val="26"/>
          <w:szCs w:val="26"/>
          <w:u w:color="ff0000"/>
          <w:rtl w:val="0"/>
          <w:lang w:val="en-US" w:eastAsia="zh-TW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ff2d21"/>
          <w:sz w:val="26"/>
          <w:szCs w:val="26"/>
          <w:u w:color="ff0000"/>
          <w:rtl w:val="0"/>
          <w:lang w:val="zh-TW" w:eastAsia="zh-TW"/>
        </w:rPr>
        <w:t>時止</w:t>
      </w:r>
      <w:r>
        <w:rPr>
          <w:sz w:val="26"/>
          <w:szCs w:val="26"/>
          <w:u w:color="ff0000"/>
          <w:rtl w:val="0"/>
          <w:lang w:val="en-US" w:eastAsia="zh-TW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u w:color="ff0000"/>
          <w:rtl w:val="0"/>
          <w:lang w:val="zh-TW" w:eastAsia="zh-TW"/>
        </w:rPr>
        <w:t>收件時間以送達為憑，逾時恕不受理</w:t>
      </w:r>
      <w:r>
        <w:rPr>
          <w:sz w:val="26"/>
          <w:szCs w:val="26"/>
          <w:u w:color="ff0000"/>
          <w:rtl w:val="0"/>
          <w:lang w:val="en-US" w:eastAsia="zh-TW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。</w:t>
      </w:r>
    </w:p>
    <w:p>
      <w:pPr>
        <w:pStyle w:val="預設值"/>
        <w:widowControl w:val="0"/>
        <w:numPr>
          <w:ilvl w:val="0"/>
          <w:numId w:val="5"/>
        </w:numPr>
        <w:bidi w:val="0"/>
        <w:spacing w:line="240" w:lineRule="atLeast"/>
        <w:ind w:right="0"/>
        <w:jc w:val="left"/>
        <w:rPr>
          <w:sz w:val="26"/>
          <w:szCs w:val="26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第一階段繳交作品之紙本、背面均須註明單位、作者姓名、作品名稱。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ind w:left="785" w:firstLine="0"/>
        <w:jc w:val="righ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相關作品繳交之檔案格式，詳情請下載附件</w:t>
      </w:r>
      <w:r>
        <w:rPr>
          <w:sz w:val="26"/>
          <w:szCs w:val="26"/>
          <w:rtl w:val="0"/>
          <w:lang w:val="zh-TW" w:eastAsia="zh-TW"/>
        </w:rPr>
        <w:t>)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sz w:val="26"/>
          <w:szCs w:val="26"/>
          <w:lang w:val="zh-TW" w:eastAsia="zh-TW"/>
        </w:rPr>
      </w:pP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b w:val="1"/>
          <w:bCs w:val="1"/>
          <w:sz w:val="26"/>
          <w:szCs w:val="26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四、評審時程：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40" w:lineRule="atLeast"/>
        <w:rPr>
          <w:sz w:val="26"/>
          <w:szCs w:val="26"/>
          <w:u w:color="000000"/>
          <w:lang w:val="zh-TW" w:eastAsia="zh-TW"/>
        </w:rPr>
      </w:pPr>
    </w:p>
    <w:p>
      <w:pPr>
        <w:pStyle w:val="預設值"/>
        <w:widowControl w:val="0"/>
        <w:numPr>
          <w:ilvl w:val="0"/>
          <w:numId w:val="7"/>
        </w:numPr>
        <w:bidi w:val="0"/>
        <w:spacing w:after="210" w:line="240" w:lineRule="atLeast"/>
        <w:ind w:right="0"/>
        <w:jc w:val="left"/>
        <w:rPr>
          <w:sz w:val="26"/>
          <w:szCs w:val="26"/>
          <w:u w:color="000000"/>
          <w:rtl w:val="0"/>
          <w:lang w:val="en-US"/>
        </w:rPr>
      </w:pPr>
      <w:r>
        <w:rPr>
          <w:color w:val="ff2c21"/>
          <w:sz w:val="26"/>
          <w:szCs w:val="26"/>
          <w:u w:color="000000"/>
          <w:rtl w:val="0"/>
          <w:lang w:val="en-US"/>
        </w:rPr>
        <w:t>2017</w:t>
      </w:r>
      <w:r>
        <w:rPr>
          <w:rFonts w:eastAsia="Arial Unicode MS" w:hint="eastAsia"/>
          <w:color w:val="ff2c21"/>
          <w:sz w:val="26"/>
          <w:szCs w:val="26"/>
          <w:u w:color="000000"/>
          <w:rtl w:val="0"/>
          <w:lang w:val="zh-TW" w:eastAsia="zh-TW"/>
        </w:rPr>
        <w:t>年</w:t>
      </w:r>
      <w:r>
        <w:rPr>
          <w:color w:val="ff2c21"/>
          <w:sz w:val="26"/>
          <w:szCs w:val="26"/>
          <w:u w:color="000000"/>
          <w:rtl w:val="0"/>
          <w:lang w:val="en-US"/>
        </w:rPr>
        <w:t>6</w:t>
      </w:r>
      <w:r>
        <w:rPr>
          <w:rFonts w:eastAsia="Arial Unicode MS" w:hint="eastAsia"/>
          <w:color w:val="ff2c21"/>
          <w:sz w:val="26"/>
          <w:szCs w:val="26"/>
          <w:u w:color="000000"/>
          <w:rtl w:val="0"/>
          <w:lang w:val="zh-TW" w:eastAsia="zh-TW"/>
        </w:rPr>
        <w:t>月</w:t>
      </w:r>
      <w:r>
        <w:rPr>
          <w:color w:val="ff2c21"/>
          <w:sz w:val="26"/>
          <w:szCs w:val="26"/>
          <w:u w:color="000000"/>
          <w:rtl w:val="0"/>
          <w:lang w:val="en-US"/>
        </w:rPr>
        <w:t>13</w:t>
      </w:r>
      <w:r>
        <w:rPr>
          <w:rFonts w:eastAsia="Arial Unicode MS" w:hint="eastAsia"/>
          <w:color w:val="ff2c21"/>
          <w:sz w:val="26"/>
          <w:szCs w:val="26"/>
          <w:u w:color="000000"/>
          <w:rtl w:val="0"/>
          <w:lang w:val="zh-TW" w:eastAsia="zh-TW"/>
        </w:rPr>
        <w:t>日</w:t>
      </w: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進行第一階段初審作業，結果於當日公告。</w:t>
      </w:r>
    </w:p>
    <w:p>
      <w:pPr>
        <w:pStyle w:val="預設值"/>
        <w:widowControl w:val="0"/>
        <w:numPr>
          <w:ilvl w:val="0"/>
          <w:numId w:val="7"/>
        </w:numPr>
        <w:bidi w:val="0"/>
        <w:spacing w:after="210" w:line="240" w:lineRule="atLeast"/>
        <w:ind w:right="0"/>
        <w:jc w:val="left"/>
        <w:rPr>
          <w:sz w:val="26"/>
          <w:szCs w:val="26"/>
          <w:u w:color="000000"/>
          <w:rtl w:val="0"/>
          <w:lang w:val="en-US"/>
        </w:rPr>
      </w:pPr>
      <w:r>
        <w:rPr>
          <w:color w:val="ff2c21"/>
          <w:sz w:val="26"/>
          <w:szCs w:val="26"/>
          <w:u w:color="000000"/>
          <w:rtl w:val="0"/>
          <w:lang w:val="en-US"/>
        </w:rPr>
        <w:t>2017</w:t>
      </w:r>
      <w:r>
        <w:rPr>
          <w:rFonts w:eastAsia="Arial Unicode MS" w:hint="eastAsia"/>
          <w:color w:val="ff2c21"/>
          <w:sz w:val="26"/>
          <w:szCs w:val="26"/>
          <w:u w:color="000000"/>
          <w:rtl w:val="0"/>
          <w:lang w:val="zh-TW" w:eastAsia="zh-TW"/>
        </w:rPr>
        <w:t>年</w:t>
      </w:r>
      <w:r>
        <w:rPr>
          <w:color w:val="ff2c21"/>
          <w:sz w:val="26"/>
          <w:szCs w:val="26"/>
          <w:u w:color="000000"/>
          <w:rtl w:val="0"/>
          <w:lang w:val="en-US"/>
        </w:rPr>
        <w:t>6</w:t>
      </w:r>
      <w:r>
        <w:rPr>
          <w:rFonts w:eastAsia="Arial Unicode MS" w:hint="eastAsia"/>
          <w:color w:val="ff2c21"/>
          <w:sz w:val="26"/>
          <w:szCs w:val="26"/>
          <w:u w:color="000000"/>
          <w:rtl w:val="0"/>
          <w:lang w:val="zh-TW" w:eastAsia="zh-TW"/>
        </w:rPr>
        <w:t>月</w:t>
      </w:r>
      <w:r>
        <w:rPr>
          <w:color w:val="ff2c21"/>
          <w:sz w:val="26"/>
          <w:szCs w:val="26"/>
          <w:u w:color="000000"/>
          <w:rtl w:val="0"/>
          <w:lang w:val="en-US"/>
        </w:rPr>
        <w:t>15</w:t>
      </w:r>
      <w:r>
        <w:rPr>
          <w:rFonts w:eastAsia="Arial Unicode MS" w:hint="eastAsia"/>
          <w:color w:val="ff2c21"/>
          <w:sz w:val="26"/>
          <w:szCs w:val="26"/>
          <w:u w:color="000000"/>
          <w:rtl w:val="0"/>
          <w:lang w:val="zh-TW" w:eastAsia="zh-TW"/>
        </w:rPr>
        <w:t>日</w:t>
      </w: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進行第二階段決審作業後公告並擇日頒獎。</w:t>
      </w:r>
    </w:p>
    <w:p>
      <w:pPr>
        <w:pStyle w:val="預設值"/>
        <w:widowControl w:val="0"/>
        <w:numPr>
          <w:ilvl w:val="0"/>
          <w:numId w:val="7"/>
        </w:numPr>
        <w:bidi w:val="0"/>
        <w:spacing w:after="210" w:line="240" w:lineRule="atLeast"/>
        <w:ind w:right="0"/>
        <w:jc w:val="left"/>
        <w:rPr>
          <w:sz w:val="26"/>
          <w:szCs w:val="26"/>
          <w:u w:color="000000"/>
          <w:rtl w:val="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以上日期如有變動，將以活動執行單位公告為準。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210" w:line="240" w:lineRule="atLeast"/>
        <w:ind w:left="785" w:firstLine="0"/>
        <w:jc w:val="right"/>
        <w:rPr>
          <w:sz w:val="26"/>
          <w:szCs w:val="26"/>
          <w:u w:color="00000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（相關評審內容，詳情請下載附件）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210" w:line="240" w:lineRule="atLeast"/>
        <w:rPr>
          <w:b w:val="1"/>
          <w:bCs w:val="1"/>
          <w:sz w:val="26"/>
          <w:szCs w:val="26"/>
          <w:u w:color="00000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五、獎項：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210" w:line="240" w:lineRule="atLeast"/>
        <w:ind w:left="785" w:firstLine="0"/>
        <w:rPr>
          <w:sz w:val="26"/>
          <w:szCs w:val="26"/>
          <w:u w:color="00000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由主辦單位於頒獎典禮公布各獎項之參賽單位及所屬系所。依各名次獎勵，頒發禮卷及獎狀壹張。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210" w:line="240" w:lineRule="atLeast"/>
        <w:ind w:left="785" w:firstLine="0"/>
        <w:jc w:val="right"/>
        <w:rPr>
          <w:sz w:val="26"/>
          <w:szCs w:val="26"/>
          <w:u w:color="00000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（相關各名次相關獎勵項目，詳情請下載附件）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210" w:line="240" w:lineRule="atLeast"/>
        <w:rPr>
          <w:b w:val="1"/>
          <w:bCs w:val="1"/>
          <w:sz w:val="26"/>
          <w:szCs w:val="26"/>
          <w:u w:color="000000"/>
          <w:lang w:val="zh-TW" w:eastAsia="zh-TW"/>
        </w:rPr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六、</w:t>
      </w:r>
      <w:r>
        <w:rPr>
          <w:rFonts w:eastAsia="Arial Unicode MS" w:hint="eastAsia"/>
          <w:sz w:val="26"/>
          <w:szCs w:val="26"/>
          <w:rtl w:val="0"/>
          <w:lang w:val="zh-TW" w:eastAsia="zh-TW"/>
        </w:rPr>
        <w:t>資訊</w:t>
      </w: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洽詢：</w:t>
      </w:r>
    </w:p>
    <w:p>
      <w:pPr>
        <w:pStyle w:val="預設值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210" w:line="240" w:lineRule="atLeast"/>
        <w:ind w:left="785" w:firstLine="0"/>
      </w:pP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國立高雄大學創意設計與建築學系</w:t>
      </w:r>
      <w:r>
        <w:rPr>
          <w:sz w:val="26"/>
          <w:szCs w:val="26"/>
          <w:u w:color="000000"/>
          <w:rtl w:val="0"/>
          <w:lang w:val="zh-TW" w:eastAsia="zh-TW"/>
        </w:rPr>
        <w:t xml:space="preserve">     </w:t>
      </w:r>
      <w:r>
        <w:rPr>
          <w:rFonts w:eastAsia="Arial Unicode MS" w:hint="eastAsia"/>
          <w:sz w:val="26"/>
          <w:szCs w:val="26"/>
          <w:u w:color="000000"/>
          <w:rtl w:val="0"/>
          <w:lang w:val="zh-TW" w:eastAsia="zh-TW"/>
        </w:rPr>
        <w:t>廖老師</w:t>
      </w:r>
      <w:r>
        <w:rPr>
          <w:sz w:val="26"/>
          <w:szCs w:val="26"/>
          <w:u w:color="000000"/>
          <w:rtl w:val="0"/>
          <w:lang w:val="zh-TW" w:eastAsia="zh-TW"/>
        </w:rPr>
        <w:t xml:space="preserve"> </w:t>
      </w:r>
      <w:r>
        <w:rPr>
          <w:i w:val="1"/>
          <w:iCs w:val="1"/>
          <w:sz w:val="26"/>
          <w:szCs w:val="26"/>
          <w:u w:color="000000"/>
          <w:rtl w:val="0"/>
          <w:lang w:val="en-US"/>
        </w:rPr>
        <w:t>07-591-9392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標楷體">
    <w:charset w:val="00"/>
    <w:family w:val="roman"/>
    <w:pitch w:val="default"/>
  </w:font>
  <w:font w:name="Euphemia UC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2"/>
  </w:abstractNum>
  <w:abstractNum w:abstractNumId="1">
    <w:multiLevelType w:val="hybridMultilevel"/>
    <w:styleLink w:val="已輸入樣式 2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311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422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84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272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69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122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54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97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輸入樣式 3"/>
  </w:abstractNum>
  <w:abstractNum w:abstractNumId="3">
    <w:multiLevelType w:val="hybridMultilevel"/>
    <w:styleLink w:val="已輸入樣式 3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366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858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326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806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298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766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246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738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輸入樣式 5"/>
  </w:abstractNum>
  <w:abstractNum w:abstractNumId="5">
    <w:multiLevelType w:val="hybridMultilevel"/>
    <w:styleLink w:val="已輸入樣式 5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851" w:hanging="42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496" w:hanging="590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440" w:hanging="187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456" w:hanging="590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936" w:hanging="590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880" w:hanging="187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896" w:hanging="590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376" w:hanging="590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320" w:hanging="187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366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440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326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806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880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766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4246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4320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已輸入樣式 2">
    <w:name w:val="已輸入樣式 2"/>
    <w:pPr>
      <w:numPr>
        <w:numId w:val="1"/>
      </w:numPr>
    </w:pPr>
  </w:style>
  <w:style w:type="numbering" w:styleId="已輸入樣式 3">
    <w:name w:val="已輸入樣式 3"/>
    <w:pPr>
      <w:numPr>
        <w:numId w:val="3"/>
      </w:numPr>
    </w:pPr>
  </w:style>
  <w:style w:type="numbering" w:styleId="已輸入樣式 5">
    <w:name w:val="已輸入樣式 5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